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0CA1F8" w14:textId="77777777" w:rsidR="00100FDC" w:rsidRDefault="00100FDC" w:rsidP="0051545D">
      <w:pPr>
        <w:spacing w:after="0" w:line="240" w:lineRule="auto"/>
        <w:jc w:val="both"/>
        <w:rPr>
          <w:rFonts w:ascii="Open Sans" w:hAnsi="Open Sans" w:cs="Open Sans"/>
          <w:b/>
          <w:color w:val="6E6E6E" w:themeColor="accent1" w:themeShade="80"/>
          <w:sz w:val="28"/>
          <w:szCs w:val="28"/>
          <w:lang w:val="en-GB"/>
        </w:rPr>
      </w:pPr>
    </w:p>
    <w:p w14:paraId="08AE5B66" w14:textId="77777777" w:rsidR="00100FDC" w:rsidRDefault="00100FDC" w:rsidP="0051545D">
      <w:pPr>
        <w:spacing w:after="0" w:line="240" w:lineRule="auto"/>
        <w:jc w:val="both"/>
        <w:rPr>
          <w:rFonts w:ascii="Open Sans" w:hAnsi="Open Sans" w:cs="Open Sans"/>
          <w:b/>
          <w:color w:val="6E6E6E" w:themeColor="accent1" w:themeShade="80"/>
          <w:sz w:val="28"/>
          <w:szCs w:val="28"/>
          <w:lang w:val="en-GB"/>
        </w:rPr>
      </w:pPr>
    </w:p>
    <w:p w14:paraId="23F5034A" w14:textId="77777777" w:rsidR="00100FDC" w:rsidRDefault="00100FDC" w:rsidP="0051545D">
      <w:pPr>
        <w:spacing w:after="0" w:line="240" w:lineRule="auto"/>
        <w:jc w:val="both"/>
        <w:rPr>
          <w:rFonts w:ascii="Open Sans" w:hAnsi="Open Sans" w:cs="Open Sans"/>
          <w:b/>
          <w:color w:val="6E6E6E" w:themeColor="accent1" w:themeShade="80"/>
          <w:sz w:val="28"/>
          <w:szCs w:val="28"/>
          <w:lang w:val="en-GB"/>
        </w:rPr>
      </w:pPr>
    </w:p>
    <w:p w14:paraId="3D151C36" w14:textId="5CFE1690" w:rsidR="00D601AC" w:rsidRPr="00D974CD" w:rsidRDefault="00395D3E" w:rsidP="0051545D">
      <w:pPr>
        <w:spacing w:after="0" w:line="240" w:lineRule="auto"/>
        <w:jc w:val="both"/>
        <w:rPr>
          <w:rFonts w:ascii="Open Sans" w:hAnsi="Open Sans" w:cs="Open Sans"/>
          <w:b/>
          <w:color w:val="6E6E6E" w:themeColor="accent1" w:themeShade="80"/>
          <w:sz w:val="28"/>
          <w:szCs w:val="28"/>
          <w:lang w:val="en-GB"/>
        </w:rPr>
      </w:pPr>
      <w:r w:rsidRPr="00D974CD">
        <w:rPr>
          <w:rFonts w:ascii="Open Sans" w:hAnsi="Open Sans" w:cs="Open Sans"/>
          <w:b/>
          <w:color w:val="6E6E6E" w:themeColor="accent1" w:themeShade="80"/>
          <w:sz w:val="28"/>
          <w:szCs w:val="28"/>
          <w:lang w:val="en-GB"/>
        </w:rPr>
        <w:t>FACTSHEET 1_</w:t>
      </w:r>
      <w:r w:rsidR="00D601AC" w:rsidRPr="00D974CD">
        <w:rPr>
          <w:rFonts w:ascii="Open Sans" w:hAnsi="Open Sans" w:cs="Open Sans"/>
          <w:b/>
          <w:color w:val="6E6E6E" w:themeColor="accent1" w:themeShade="80"/>
          <w:sz w:val="28"/>
          <w:szCs w:val="28"/>
          <w:lang w:val="en-GB"/>
        </w:rPr>
        <w:t>Priority axis PA1</w:t>
      </w:r>
      <w:r w:rsidR="00FF6A93" w:rsidRPr="00D974CD">
        <w:rPr>
          <w:rFonts w:ascii="Open Sans" w:hAnsi="Open Sans" w:cs="Open Sans"/>
          <w:b/>
          <w:color w:val="6E6E6E" w:themeColor="accent1" w:themeShade="80"/>
          <w:sz w:val="28"/>
          <w:szCs w:val="28"/>
          <w:lang w:val="en-GB"/>
        </w:rPr>
        <w:t>_</w:t>
      </w:r>
      <w:r w:rsidR="00D601AC" w:rsidRPr="00D974CD">
        <w:rPr>
          <w:rFonts w:ascii="Open Sans" w:hAnsi="Open Sans" w:cs="Open Sans"/>
          <w:b/>
          <w:color w:val="6E6E6E" w:themeColor="accent1" w:themeShade="80"/>
          <w:sz w:val="28"/>
          <w:szCs w:val="28"/>
          <w:lang w:val="en-GB"/>
        </w:rPr>
        <w:t>Joint protection and efficient use of common values and resources (Cooperating on common values and resources)</w:t>
      </w:r>
    </w:p>
    <w:p w14:paraId="25DAF5BE" w14:textId="77777777" w:rsidR="000E3A02" w:rsidRPr="00D974CD" w:rsidRDefault="000E3A02" w:rsidP="00F95809">
      <w:pPr>
        <w:spacing w:after="0" w:line="240" w:lineRule="auto"/>
        <w:jc w:val="center"/>
        <w:rPr>
          <w:rFonts w:ascii="Open Sans" w:hAnsi="Open Sans" w:cs="Open Sans"/>
          <w:b/>
          <w:color w:val="6E6E6E" w:themeColor="accent1" w:themeShade="80"/>
          <w:sz w:val="28"/>
          <w:szCs w:val="28"/>
          <w:lang w:val="en-GB"/>
        </w:rPr>
      </w:pPr>
    </w:p>
    <w:p w14:paraId="6DE8216D" w14:textId="11AAEF87" w:rsidR="00D601AC" w:rsidRPr="00D974CD" w:rsidRDefault="00D601AC" w:rsidP="00D84E13">
      <w:pPr>
        <w:jc w:val="both"/>
        <w:rPr>
          <w:rFonts w:ascii="Open Sans" w:hAnsi="Open Sans" w:cs="Open Sans"/>
          <w:b/>
          <w:color w:val="6E6E6E" w:themeColor="accent1" w:themeShade="80"/>
          <w:sz w:val="24"/>
          <w:szCs w:val="24"/>
          <w:lang w:val="en-GB"/>
        </w:rPr>
      </w:pPr>
      <w:r w:rsidRPr="00D974CD">
        <w:rPr>
          <w:rFonts w:ascii="Open Sans" w:hAnsi="Open Sans" w:cs="Open Sans"/>
          <w:b/>
          <w:color w:val="6E6E6E" w:themeColor="accent1" w:themeShade="80"/>
          <w:sz w:val="24"/>
          <w:szCs w:val="24"/>
          <w:lang w:val="en-GB"/>
        </w:rPr>
        <w:t>Investment priority</w:t>
      </w:r>
      <w:r w:rsidR="00E74021" w:rsidRPr="00D974CD">
        <w:rPr>
          <w:rFonts w:ascii="Open Sans" w:hAnsi="Open Sans" w:cs="Open Sans"/>
          <w:b/>
          <w:color w:val="6E6E6E" w:themeColor="accent1" w:themeShade="80"/>
          <w:sz w:val="24"/>
          <w:szCs w:val="24"/>
          <w:lang w:val="en-GB"/>
        </w:rPr>
        <w:t xml:space="preserve"> </w:t>
      </w:r>
      <w:r w:rsidRPr="00D974CD">
        <w:rPr>
          <w:rFonts w:ascii="Open Sans" w:hAnsi="Open Sans" w:cs="Open Sans"/>
          <w:b/>
          <w:color w:val="6E6E6E" w:themeColor="accent1" w:themeShade="80"/>
          <w:sz w:val="24"/>
          <w:szCs w:val="24"/>
          <w:lang w:val="en-GB"/>
        </w:rPr>
        <w:t>6</w:t>
      </w:r>
      <w:r w:rsidR="00E74021" w:rsidRPr="00D974CD">
        <w:rPr>
          <w:rFonts w:ascii="Open Sans" w:hAnsi="Open Sans" w:cs="Open Sans"/>
          <w:b/>
          <w:color w:val="6E6E6E" w:themeColor="accent1" w:themeShade="80"/>
          <w:sz w:val="24"/>
          <w:szCs w:val="24"/>
          <w:lang w:val="en-GB"/>
        </w:rPr>
        <w:t>/</w:t>
      </w:r>
      <w:r w:rsidR="00D84E13" w:rsidRPr="00D974CD">
        <w:rPr>
          <w:rFonts w:ascii="Open Sans" w:hAnsi="Open Sans" w:cs="Open Sans"/>
          <w:b/>
          <w:color w:val="6E6E6E" w:themeColor="accent1" w:themeShade="80"/>
          <w:sz w:val="24"/>
          <w:szCs w:val="24"/>
          <w:lang w:val="en-GB"/>
        </w:rPr>
        <w:t>b</w:t>
      </w:r>
      <w:r w:rsidRPr="00D974CD">
        <w:rPr>
          <w:rFonts w:ascii="Open Sans" w:hAnsi="Open Sans" w:cs="Open Sans"/>
          <w:b/>
          <w:color w:val="6E6E6E" w:themeColor="accent1" w:themeShade="80"/>
          <w:sz w:val="24"/>
          <w:szCs w:val="24"/>
          <w:lang w:val="en-GB"/>
        </w:rPr>
        <w:t xml:space="preserve">: </w:t>
      </w:r>
      <w:r w:rsidR="00D84E13" w:rsidRPr="00D974CD">
        <w:rPr>
          <w:rFonts w:ascii="Open Sans" w:hAnsi="Open Sans" w:cs="Open Sans"/>
          <w:b/>
          <w:color w:val="6E6E6E" w:themeColor="accent1" w:themeShade="80"/>
          <w:sz w:val="24"/>
          <w:szCs w:val="24"/>
          <w:lang w:val="en-US"/>
        </w:rPr>
        <w:t xml:space="preserve">Investing in the water sector to meet the requirements of the Union's environmental </w:t>
      </w:r>
      <w:proofErr w:type="spellStart"/>
      <w:r w:rsidR="00D84E13" w:rsidRPr="00D974CD">
        <w:rPr>
          <w:rFonts w:ascii="Open Sans" w:hAnsi="Open Sans" w:cs="Open Sans"/>
          <w:b/>
          <w:color w:val="6E6E6E" w:themeColor="accent1" w:themeShade="80"/>
          <w:sz w:val="24"/>
          <w:szCs w:val="24"/>
          <w:lang w:val="en-US"/>
        </w:rPr>
        <w:t>acquis</w:t>
      </w:r>
      <w:proofErr w:type="spellEnd"/>
      <w:r w:rsidR="00D84E13" w:rsidRPr="00D974CD">
        <w:rPr>
          <w:rFonts w:ascii="Open Sans" w:hAnsi="Open Sans" w:cs="Open Sans"/>
          <w:b/>
          <w:color w:val="6E6E6E" w:themeColor="accent1" w:themeShade="80"/>
          <w:sz w:val="24"/>
          <w:szCs w:val="24"/>
          <w:lang w:val="en-US"/>
        </w:rPr>
        <w:t xml:space="preserve"> and to address needs, identified by the Member States, for investment that</w:t>
      </w:r>
      <w:r w:rsidR="00F414DC" w:rsidRPr="00D974CD">
        <w:rPr>
          <w:rFonts w:ascii="Open Sans" w:hAnsi="Open Sans" w:cs="Open Sans"/>
          <w:b/>
          <w:color w:val="6E6E6E" w:themeColor="accent1" w:themeShade="80"/>
          <w:sz w:val="24"/>
          <w:szCs w:val="24"/>
          <w:lang w:val="en-US"/>
        </w:rPr>
        <w:t xml:space="preserve"> </w:t>
      </w:r>
      <w:r w:rsidR="00D84E13" w:rsidRPr="00D974CD">
        <w:rPr>
          <w:rFonts w:ascii="Open Sans" w:hAnsi="Open Sans" w:cs="Open Sans"/>
          <w:b/>
          <w:color w:val="6E6E6E" w:themeColor="accent1" w:themeShade="80"/>
          <w:sz w:val="24"/>
          <w:szCs w:val="24"/>
          <w:lang w:val="en-US"/>
        </w:rPr>
        <w:t>goes beyond those requirements</w:t>
      </w:r>
    </w:p>
    <w:p w14:paraId="5332C79F" w14:textId="6B67575E" w:rsidR="0079079D" w:rsidRPr="00D974CD" w:rsidRDefault="0079079D" w:rsidP="002B28B1">
      <w:pPr>
        <w:shd w:val="clear" w:color="auto" w:fill="707070" w:themeFill="accent3" w:themeFillShade="BF"/>
        <w:spacing w:after="216" w:line="259" w:lineRule="auto"/>
        <w:rPr>
          <w:rFonts w:ascii="Open Sans" w:hAnsi="Open Sans" w:cs="Open Sans"/>
          <w:b/>
          <w:color w:val="6E6E6E" w:themeColor="accent1" w:themeShade="80"/>
          <w:lang w:val="en-GB"/>
        </w:rPr>
      </w:pPr>
      <w:r w:rsidRPr="00D974CD">
        <w:rPr>
          <w:rFonts w:ascii="Open Sans" w:hAnsi="Open Sans" w:cs="Open Sans"/>
          <w:b/>
          <w:color w:val="6E6E6E" w:themeColor="accent1" w:themeShade="80"/>
          <w:sz w:val="72"/>
          <w:szCs w:val="72"/>
          <w:lang w:val="en-GB"/>
        </w:rPr>
        <w:sym w:font="Wingdings" w:char="F024"/>
      </w:r>
      <w:r w:rsidRPr="00D974CD">
        <w:rPr>
          <w:rFonts w:ascii="Open Sans" w:hAnsi="Open Sans" w:cs="Open Sans"/>
          <w:b/>
          <w:color w:val="6E6E6E" w:themeColor="accent1" w:themeShade="80"/>
          <w:lang w:val="en-GB"/>
        </w:rPr>
        <w:t>Focus of interventions</w:t>
      </w:r>
      <w:r w:rsidR="008B30C6" w:rsidRPr="00D974CD">
        <w:rPr>
          <w:rFonts w:ascii="Open Sans" w:hAnsi="Open Sans" w:cs="Open Sans"/>
          <w:b/>
          <w:color w:val="6E6E6E" w:themeColor="accent1" w:themeShade="80"/>
          <w:lang w:val="en-GB"/>
        </w:rPr>
        <w:t>:</w:t>
      </w:r>
    </w:p>
    <w:p w14:paraId="77F76C57" w14:textId="0F2601B9" w:rsidR="0079079D" w:rsidRPr="00D974CD" w:rsidRDefault="00DB0FA8" w:rsidP="00D974CD">
      <w:pPr>
        <w:autoSpaceDE w:val="0"/>
        <w:autoSpaceDN w:val="0"/>
        <w:adjustRightInd w:val="0"/>
        <w:spacing w:after="120"/>
        <w:jc w:val="both"/>
        <w:rPr>
          <w:rFonts w:ascii="Open Sans" w:hAnsi="Open Sans" w:cs="Open Sans"/>
          <w:color w:val="6E6E6E" w:themeColor="accent1" w:themeShade="80"/>
          <w:lang w:val="en-GB"/>
        </w:rPr>
      </w:pPr>
      <w:r w:rsidRPr="00D974CD">
        <w:rPr>
          <w:rFonts w:ascii="Open Sans" w:hAnsi="Open Sans" w:cs="Open Sans"/>
          <w:color w:val="6E6E6E" w:themeColor="accent1" w:themeShade="80"/>
          <w:lang w:val="en-US"/>
        </w:rPr>
        <w:t>Interventions will focus on i</w:t>
      </w:r>
      <w:r w:rsidR="006773C1" w:rsidRPr="00D974CD">
        <w:rPr>
          <w:rFonts w:ascii="Open Sans" w:hAnsi="Open Sans" w:cs="Open Sans"/>
          <w:color w:val="6E6E6E" w:themeColor="accent1" w:themeShade="80"/>
          <w:lang w:val="en-US"/>
        </w:rPr>
        <w:t>ntegrated water management actions related to cross-border surface water – rivers, streams, flows, including water quality monitoring, information and</w:t>
      </w:r>
      <w:r w:rsidR="008B30C6" w:rsidRPr="00D974CD">
        <w:rPr>
          <w:rFonts w:ascii="Open Sans" w:hAnsi="Open Sans" w:cs="Open Sans"/>
          <w:color w:val="6E6E6E" w:themeColor="accent1" w:themeShade="80"/>
          <w:lang w:val="en-US"/>
        </w:rPr>
        <w:t xml:space="preserve"> </w:t>
      </w:r>
      <w:r w:rsidR="006773C1" w:rsidRPr="00D974CD">
        <w:rPr>
          <w:rFonts w:ascii="Open Sans" w:hAnsi="Open Sans" w:cs="Open Sans"/>
          <w:color w:val="6E6E6E" w:themeColor="accent1" w:themeShade="80"/>
          <w:lang w:val="en-US"/>
        </w:rPr>
        <w:t>data exchange, as well as the rehabilitation of natural waters using eco-system based approach, even their original flow direction, flood-protection,</w:t>
      </w:r>
      <w:r w:rsidR="008B30C6" w:rsidRPr="00D974CD">
        <w:rPr>
          <w:rFonts w:ascii="Open Sans" w:hAnsi="Open Sans" w:cs="Open Sans"/>
          <w:color w:val="6E6E6E" w:themeColor="accent1" w:themeShade="80"/>
          <w:lang w:val="en-US"/>
        </w:rPr>
        <w:t xml:space="preserve"> </w:t>
      </w:r>
      <w:r w:rsidR="006773C1" w:rsidRPr="00D974CD">
        <w:rPr>
          <w:rFonts w:ascii="Open Sans" w:hAnsi="Open Sans" w:cs="Open Sans"/>
          <w:color w:val="6E6E6E" w:themeColor="accent1" w:themeShade="80"/>
          <w:lang w:val="en-US"/>
        </w:rPr>
        <w:t>retention of surface water resources, agricultural and energy generation use of water, protection of the common water basin</w:t>
      </w:r>
      <w:r w:rsidR="00C35780">
        <w:rPr>
          <w:rFonts w:ascii="Open Sans" w:hAnsi="Open Sans" w:cs="Open Sans"/>
          <w:color w:val="6E6E6E" w:themeColor="accent1" w:themeShade="80"/>
          <w:lang w:val="en-US"/>
        </w:rPr>
        <w:t>s</w:t>
      </w:r>
      <w:r w:rsidR="006773C1" w:rsidRPr="00D974CD">
        <w:rPr>
          <w:rFonts w:ascii="Open Sans" w:hAnsi="Open Sans" w:cs="Open Sans"/>
          <w:color w:val="6E6E6E" w:themeColor="accent1" w:themeShade="80"/>
          <w:lang w:val="en-US"/>
        </w:rPr>
        <w:t>.</w:t>
      </w:r>
      <w:r w:rsidR="0079079D" w:rsidRPr="00D974CD">
        <w:rPr>
          <w:rFonts w:ascii="Open Sans" w:hAnsi="Open Sans" w:cs="Open Sans"/>
          <w:color w:val="6E6E6E" w:themeColor="accent1" w:themeShade="80"/>
          <w:lang w:val="en-GB"/>
        </w:rPr>
        <w:t xml:space="preserve"> </w:t>
      </w:r>
    </w:p>
    <w:p w14:paraId="02BA756A" w14:textId="7D2BEB27" w:rsidR="00FD43E8" w:rsidRPr="00D974CD" w:rsidRDefault="003C427A" w:rsidP="00DF1907">
      <w:pPr>
        <w:shd w:val="clear" w:color="auto" w:fill="707070" w:themeFill="accent3" w:themeFillShade="BF"/>
        <w:jc w:val="both"/>
        <w:rPr>
          <w:rFonts w:ascii="Open Sans" w:hAnsi="Open Sans" w:cs="Open Sans"/>
          <w:color w:val="6E6E6E" w:themeColor="accent1" w:themeShade="80"/>
          <w:shd w:val="clear" w:color="auto" w:fill="4B4B4B" w:themeFill="accent3" w:themeFillShade="80"/>
          <w:lang w:val="en-GB"/>
        </w:rPr>
      </w:pPr>
      <w:r w:rsidRPr="00D974CD">
        <w:rPr>
          <w:rFonts w:ascii="Open Sans" w:hAnsi="Open Sans" w:cs="Open Sans"/>
          <w:b/>
          <w:color w:val="6E6E6E" w:themeColor="accent1" w:themeShade="80"/>
          <w:sz w:val="72"/>
          <w:szCs w:val="72"/>
          <w:lang w:val="en-GB"/>
        </w:rPr>
        <w:sym w:font="Wingdings" w:char="F021"/>
      </w:r>
      <w:r w:rsidR="00D601AC" w:rsidRPr="00D974CD">
        <w:rPr>
          <w:rFonts w:ascii="Open Sans" w:hAnsi="Open Sans" w:cs="Open Sans"/>
          <w:b/>
          <w:color w:val="6E6E6E" w:themeColor="accent1" w:themeShade="80"/>
          <w:lang w:val="en-GB"/>
        </w:rPr>
        <w:t>Indicative actions</w:t>
      </w:r>
      <w:r w:rsidR="00D974CD" w:rsidRPr="00D974CD">
        <w:rPr>
          <w:rFonts w:ascii="Open Sans" w:hAnsi="Open Sans" w:cs="Open Sans"/>
          <w:b/>
          <w:color w:val="6E6E6E" w:themeColor="accent1" w:themeShade="80"/>
          <w:lang w:val="en-GB"/>
        </w:rPr>
        <w:t>:</w:t>
      </w:r>
      <w:r w:rsidR="00D601AC" w:rsidRPr="00D974CD">
        <w:rPr>
          <w:rFonts w:ascii="Open Sans" w:hAnsi="Open Sans" w:cs="Open Sans"/>
          <w:color w:val="6E6E6E" w:themeColor="accent1" w:themeShade="80"/>
          <w:shd w:val="clear" w:color="auto" w:fill="4B4B4B" w:themeFill="accent3" w:themeFillShade="80"/>
          <w:lang w:val="en-GB"/>
        </w:rPr>
        <w:t xml:space="preserve"> </w:t>
      </w:r>
    </w:p>
    <w:p w14:paraId="1B73F40A" w14:textId="1E1A917F" w:rsidR="00D43D8A" w:rsidRPr="00D974CD" w:rsidRDefault="00FD43E8" w:rsidP="00D974CD">
      <w:pPr>
        <w:spacing w:before="120" w:after="120"/>
        <w:jc w:val="both"/>
        <w:rPr>
          <w:rFonts w:ascii="Open Sans" w:hAnsi="Open Sans" w:cs="Open Sans"/>
          <w:color w:val="6E6E6E" w:themeColor="accent1" w:themeShade="80"/>
          <w:lang w:val="en-GB"/>
        </w:rPr>
      </w:pPr>
      <w:r w:rsidRPr="00D974CD">
        <w:rPr>
          <w:rFonts w:ascii="Open Sans" w:hAnsi="Open Sans" w:cs="Open Sans"/>
          <w:color w:val="6E6E6E" w:themeColor="accent1" w:themeShade="80"/>
          <w:lang w:val="en-GB"/>
        </w:rPr>
        <w:t xml:space="preserve">The indicative actions </w:t>
      </w:r>
      <w:r w:rsidR="00D601AC" w:rsidRPr="00D974CD">
        <w:rPr>
          <w:rFonts w:ascii="Open Sans" w:hAnsi="Open Sans" w:cs="Open Sans"/>
          <w:color w:val="6E6E6E" w:themeColor="accent1" w:themeShade="80"/>
          <w:lang w:val="en-GB"/>
        </w:rPr>
        <w:t xml:space="preserve">will be related to </w:t>
      </w:r>
      <w:r w:rsidR="00D43D8A" w:rsidRPr="00D974CD">
        <w:rPr>
          <w:rFonts w:ascii="Open Sans" w:hAnsi="Open Sans" w:cs="Open Sans"/>
          <w:color w:val="6E6E6E" w:themeColor="accent1" w:themeShade="80"/>
          <w:lang w:val="en-GB"/>
        </w:rPr>
        <w:t>investment or integrated investments and actions (monitoring, management, planning pollution control, etc.) to protect and improve water quality and saf</w:t>
      </w:r>
      <w:r w:rsidR="00AF4921">
        <w:rPr>
          <w:rFonts w:ascii="Open Sans" w:hAnsi="Open Sans" w:cs="Open Sans"/>
          <w:color w:val="6E6E6E" w:themeColor="accent1" w:themeShade="80"/>
          <w:lang w:val="en-GB"/>
        </w:rPr>
        <w:t xml:space="preserve">eguard its quantity, as well as </w:t>
      </w:r>
      <w:r w:rsidR="00D43D8A" w:rsidRPr="00D974CD">
        <w:rPr>
          <w:rFonts w:ascii="Open Sans" w:hAnsi="Open Sans" w:cs="Open Sans"/>
          <w:color w:val="6E6E6E" w:themeColor="accent1" w:themeShade="80"/>
          <w:lang w:val="en-GB"/>
        </w:rPr>
        <w:t>ensure sustainable use of water resources, in line with the provisions of the Water Framework Directive</w:t>
      </w:r>
      <w:r w:rsidR="006773C1" w:rsidRPr="00D974CD">
        <w:rPr>
          <w:rStyle w:val="FootnoteReference"/>
          <w:rFonts w:ascii="Open Sans" w:hAnsi="Open Sans" w:cs="Open Sans"/>
          <w:color w:val="6E6E6E" w:themeColor="accent1" w:themeShade="80"/>
          <w:lang w:val="en-GB"/>
        </w:rPr>
        <w:footnoteReference w:id="1"/>
      </w:r>
      <w:r w:rsidR="00D43D8A" w:rsidRPr="00D974CD">
        <w:rPr>
          <w:rFonts w:ascii="Open Sans" w:hAnsi="Open Sans" w:cs="Open Sans"/>
          <w:color w:val="6E6E6E" w:themeColor="accent1" w:themeShade="80"/>
          <w:lang w:val="en-GB"/>
        </w:rPr>
        <w:t>.</w:t>
      </w:r>
    </w:p>
    <w:p w14:paraId="7E49FC94" w14:textId="6AD32CA8" w:rsidR="00D43D8A" w:rsidRPr="00D974CD" w:rsidRDefault="00D43D8A" w:rsidP="00D974CD">
      <w:pPr>
        <w:spacing w:before="120" w:after="120"/>
        <w:jc w:val="both"/>
        <w:rPr>
          <w:rFonts w:ascii="Open Sans" w:hAnsi="Open Sans" w:cs="Open Sans"/>
          <w:color w:val="6E6E6E" w:themeColor="accent1" w:themeShade="80"/>
          <w:lang w:val="en-GB"/>
        </w:rPr>
      </w:pPr>
      <w:r w:rsidRPr="00D974CD">
        <w:rPr>
          <w:rFonts w:ascii="Open Sans" w:hAnsi="Open Sans" w:cs="Open Sans"/>
          <w:color w:val="6E6E6E" w:themeColor="accent1" w:themeShade="80"/>
          <w:lang w:val="en-GB"/>
        </w:rPr>
        <w:t xml:space="preserve">Water management is a traditionally important field of cross-border cooperation on the Romania-Hungary eligible border area. Water management organizations have jointly implemented various projects already under the </w:t>
      </w:r>
      <w:r w:rsidR="00E7193F">
        <w:rPr>
          <w:rFonts w:ascii="Open Sans" w:hAnsi="Open Sans" w:cs="Open Sans"/>
          <w:color w:val="6E6E6E" w:themeColor="accent1" w:themeShade="80"/>
          <w:lang w:val="en-GB"/>
        </w:rPr>
        <w:t>previous</w:t>
      </w:r>
      <w:r w:rsidRPr="00D974CD">
        <w:rPr>
          <w:rFonts w:ascii="Open Sans" w:hAnsi="Open Sans" w:cs="Open Sans"/>
          <w:color w:val="6E6E6E" w:themeColor="accent1" w:themeShade="80"/>
          <w:lang w:val="en-GB"/>
        </w:rPr>
        <w:t xml:space="preserve"> programme, and future actions are foreseen (and even planned) to further improve the quality and safeguard the quantity of joint water resources, as well as to improve the capacity to integrate the water protection, as well</w:t>
      </w:r>
      <w:r w:rsidR="00835FB3" w:rsidRPr="00D974CD">
        <w:rPr>
          <w:rFonts w:ascii="Open Sans" w:hAnsi="Open Sans" w:cs="Open Sans"/>
          <w:color w:val="6E6E6E" w:themeColor="accent1" w:themeShade="80"/>
          <w:lang w:val="en-GB"/>
        </w:rPr>
        <w:t xml:space="preserve"> </w:t>
      </w:r>
      <w:r w:rsidRPr="00D974CD">
        <w:rPr>
          <w:rFonts w:ascii="Open Sans" w:hAnsi="Open Sans" w:cs="Open Sans"/>
          <w:color w:val="6E6E6E" w:themeColor="accent1" w:themeShade="80"/>
          <w:lang w:val="en-GB"/>
        </w:rPr>
        <w:t>as the natural and cu</w:t>
      </w:r>
      <w:r w:rsidR="009F652C" w:rsidRPr="00D974CD">
        <w:rPr>
          <w:rFonts w:ascii="Open Sans" w:hAnsi="Open Sans" w:cs="Open Sans"/>
          <w:color w:val="6E6E6E" w:themeColor="accent1" w:themeShade="80"/>
          <w:lang w:val="en-GB"/>
        </w:rPr>
        <w:t>ltural heritage protection in cross-border</w:t>
      </w:r>
      <w:r w:rsidRPr="00D974CD">
        <w:rPr>
          <w:rFonts w:ascii="Open Sans" w:hAnsi="Open Sans" w:cs="Open Sans"/>
          <w:color w:val="6E6E6E" w:themeColor="accent1" w:themeShade="80"/>
          <w:lang w:val="en-GB"/>
        </w:rPr>
        <w:t xml:space="preserve"> strategies and policies. Types of </w:t>
      </w:r>
      <w:r w:rsidRPr="00D974CD">
        <w:rPr>
          <w:rFonts w:ascii="Open Sans" w:hAnsi="Open Sans" w:cs="Open Sans"/>
          <w:color w:val="6E6E6E" w:themeColor="accent1" w:themeShade="80"/>
          <w:lang w:val="en-GB"/>
        </w:rPr>
        <w:lastRenderedPageBreak/>
        <w:t>investments foreseen include the development of water supply system</w:t>
      </w:r>
      <w:r w:rsidR="00310962" w:rsidRPr="00D974CD">
        <w:rPr>
          <w:rFonts w:ascii="Open Sans" w:hAnsi="Open Sans" w:cs="Open Sans"/>
          <w:color w:val="6E6E6E" w:themeColor="accent1" w:themeShade="80"/>
          <w:lang w:val="en-GB"/>
        </w:rPr>
        <w:t xml:space="preserve"> </w:t>
      </w:r>
      <w:r w:rsidRPr="00D974CD">
        <w:rPr>
          <w:rFonts w:ascii="Open Sans" w:hAnsi="Open Sans" w:cs="Open Sans"/>
          <w:color w:val="6E6E6E" w:themeColor="accent1" w:themeShade="80"/>
          <w:lang w:val="en-GB"/>
        </w:rPr>
        <w:t>in the border area, aiming at quality improvement of the water resources, as well as the collection and use of excess water to compensate for the effect of</w:t>
      </w:r>
      <w:r w:rsidR="00310962" w:rsidRPr="00D974CD">
        <w:rPr>
          <w:rFonts w:ascii="Open Sans" w:hAnsi="Open Sans" w:cs="Open Sans"/>
          <w:color w:val="6E6E6E" w:themeColor="accent1" w:themeShade="80"/>
          <w:lang w:val="en-GB"/>
        </w:rPr>
        <w:t xml:space="preserve"> </w:t>
      </w:r>
      <w:r w:rsidRPr="00D974CD">
        <w:rPr>
          <w:rFonts w:ascii="Open Sans" w:hAnsi="Open Sans" w:cs="Open Sans"/>
          <w:color w:val="6E6E6E" w:themeColor="accent1" w:themeShade="80"/>
          <w:lang w:val="en-GB"/>
        </w:rPr>
        <w:t>dry and wet periods on water quality and posing the risk of floods as well as droughts.</w:t>
      </w:r>
    </w:p>
    <w:p w14:paraId="32C69F65" w14:textId="4E3AEB2F" w:rsidR="00D43D8A" w:rsidRPr="00D974CD" w:rsidRDefault="00D43D8A" w:rsidP="00D974CD">
      <w:pPr>
        <w:spacing w:before="120" w:after="120"/>
        <w:jc w:val="both"/>
        <w:rPr>
          <w:rFonts w:ascii="Open Sans" w:hAnsi="Open Sans" w:cs="Open Sans"/>
          <w:color w:val="6E6E6E" w:themeColor="accent1" w:themeShade="80"/>
          <w:lang w:val="en-GB"/>
        </w:rPr>
      </w:pPr>
      <w:r w:rsidRPr="00D974CD">
        <w:rPr>
          <w:rFonts w:ascii="Open Sans" w:hAnsi="Open Sans" w:cs="Open Sans"/>
          <w:color w:val="6E6E6E" w:themeColor="accent1" w:themeShade="80"/>
          <w:lang w:val="en-GB"/>
        </w:rPr>
        <w:t>All co-financed water-supply related actions need to be based on the relevant River Basin Management Plans ensuring compliance with Directive</w:t>
      </w:r>
      <w:r w:rsidR="00310962" w:rsidRPr="00D974CD">
        <w:rPr>
          <w:rFonts w:ascii="Open Sans" w:hAnsi="Open Sans" w:cs="Open Sans"/>
          <w:color w:val="6E6E6E" w:themeColor="accent1" w:themeShade="80"/>
          <w:lang w:val="en-GB"/>
        </w:rPr>
        <w:t xml:space="preserve"> </w:t>
      </w:r>
      <w:r w:rsidRPr="00D974CD">
        <w:rPr>
          <w:rFonts w:ascii="Open Sans" w:hAnsi="Open Sans" w:cs="Open Sans"/>
          <w:color w:val="6E6E6E" w:themeColor="accent1" w:themeShade="80"/>
          <w:lang w:val="en-GB"/>
        </w:rPr>
        <w:t>2000/60/EC. Any intervention that affect NATURA 2000 sites need to be in line with Article 6, paragraphs 2-4 of the Habitats Directive, stipulating how</w:t>
      </w:r>
      <w:r w:rsidR="00310962" w:rsidRPr="00D974CD">
        <w:rPr>
          <w:rFonts w:ascii="Open Sans" w:hAnsi="Open Sans" w:cs="Open Sans"/>
          <w:color w:val="6E6E6E" w:themeColor="accent1" w:themeShade="80"/>
          <w:lang w:val="en-GB"/>
        </w:rPr>
        <w:t xml:space="preserve"> </w:t>
      </w:r>
      <w:r w:rsidRPr="00D974CD">
        <w:rPr>
          <w:rFonts w:ascii="Open Sans" w:hAnsi="Open Sans" w:cs="Open Sans"/>
          <w:color w:val="6E6E6E" w:themeColor="accent1" w:themeShade="80"/>
          <w:lang w:val="en-GB"/>
        </w:rPr>
        <w:t>NATURA 2000 sites are managed and protected.</w:t>
      </w:r>
    </w:p>
    <w:p w14:paraId="44F7B194" w14:textId="6E4B4269" w:rsidR="00D601AC" w:rsidRPr="00D974CD" w:rsidRDefault="003C427A" w:rsidP="002B28B1">
      <w:pPr>
        <w:shd w:val="clear" w:color="auto" w:fill="707070" w:themeFill="accent3" w:themeFillShade="BF"/>
        <w:jc w:val="both"/>
        <w:rPr>
          <w:rFonts w:ascii="Open Sans" w:hAnsi="Open Sans" w:cs="Open Sans"/>
          <w:b/>
          <w:color w:val="6E6E6E" w:themeColor="accent1" w:themeShade="80"/>
          <w:lang w:val="en-GB"/>
        </w:rPr>
      </w:pPr>
      <w:r w:rsidRPr="00D974CD">
        <w:rPr>
          <w:rFonts w:ascii="Open Sans" w:hAnsi="Open Sans" w:cs="Open Sans"/>
          <w:b/>
          <w:color w:val="6E6E6E" w:themeColor="accent1" w:themeShade="80"/>
          <w:sz w:val="72"/>
          <w:szCs w:val="72"/>
          <w:lang w:val="en-GB"/>
        </w:rPr>
        <w:sym w:font="Wingdings" w:char="F034"/>
      </w:r>
      <w:r w:rsidR="00D601AC" w:rsidRPr="00D974CD">
        <w:rPr>
          <w:rFonts w:ascii="Open Sans" w:hAnsi="Open Sans" w:cs="Open Sans"/>
          <w:b/>
          <w:color w:val="6E6E6E" w:themeColor="accent1" w:themeShade="80"/>
          <w:lang w:val="en-GB"/>
        </w:rPr>
        <w:t>Types of acti</w:t>
      </w:r>
      <w:r w:rsidR="00E74021" w:rsidRPr="00D974CD">
        <w:rPr>
          <w:rFonts w:ascii="Open Sans" w:hAnsi="Open Sans" w:cs="Open Sans"/>
          <w:b/>
          <w:color w:val="6E6E6E" w:themeColor="accent1" w:themeShade="80"/>
          <w:lang w:val="en-GB"/>
        </w:rPr>
        <w:t>vities</w:t>
      </w:r>
      <w:r w:rsidR="00D601AC" w:rsidRPr="00D974CD">
        <w:rPr>
          <w:rFonts w:ascii="Open Sans" w:hAnsi="Open Sans" w:cs="Open Sans"/>
          <w:b/>
          <w:color w:val="6E6E6E" w:themeColor="accent1" w:themeShade="80"/>
          <w:lang w:val="en-GB"/>
        </w:rPr>
        <w:t xml:space="preserve"> include, among others:</w:t>
      </w:r>
    </w:p>
    <w:p w14:paraId="2CE262AB" w14:textId="12FCB664" w:rsidR="00835FB3" w:rsidRPr="00D974CD" w:rsidRDefault="00835FB3" w:rsidP="00835FB3">
      <w:pPr>
        <w:pStyle w:val="ListParagraph"/>
        <w:numPr>
          <w:ilvl w:val="0"/>
          <w:numId w:val="23"/>
        </w:numPr>
        <w:jc w:val="both"/>
        <w:rPr>
          <w:rFonts w:ascii="Open Sans" w:hAnsi="Open Sans" w:cs="Open Sans"/>
          <w:color w:val="6E6E6E" w:themeColor="accent1" w:themeShade="80"/>
          <w:lang w:val="en-GB"/>
        </w:rPr>
      </w:pPr>
      <w:r w:rsidRPr="00D974CD">
        <w:rPr>
          <w:rFonts w:ascii="Open Sans" w:hAnsi="Open Sans" w:cs="Open Sans"/>
          <w:color w:val="6E6E6E" w:themeColor="accent1" w:themeShade="80"/>
          <w:lang w:val="en-GB"/>
        </w:rPr>
        <w:t>Protection and utilization of the cross border water basins</w:t>
      </w:r>
      <w:r w:rsidR="00DF1907" w:rsidRPr="00D974CD">
        <w:rPr>
          <w:rFonts w:ascii="Open Sans" w:hAnsi="Open Sans" w:cs="Open Sans"/>
          <w:color w:val="6E6E6E" w:themeColor="accent1" w:themeShade="80"/>
          <w:lang w:val="en-GB"/>
        </w:rPr>
        <w:t>;</w:t>
      </w:r>
    </w:p>
    <w:p w14:paraId="03F00A86" w14:textId="03EDE0C4" w:rsidR="00835FB3" w:rsidRPr="00D974CD" w:rsidRDefault="00835FB3" w:rsidP="00835FB3">
      <w:pPr>
        <w:pStyle w:val="ListParagraph"/>
        <w:numPr>
          <w:ilvl w:val="0"/>
          <w:numId w:val="23"/>
        </w:numPr>
        <w:jc w:val="both"/>
        <w:rPr>
          <w:rFonts w:ascii="Open Sans" w:hAnsi="Open Sans" w:cs="Open Sans"/>
          <w:color w:val="6E6E6E" w:themeColor="accent1" w:themeShade="80"/>
          <w:lang w:val="en-GB"/>
        </w:rPr>
      </w:pPr>
      <w:r w:rsidRPr="00D974CD">
        <w:rPr>
          <w:rFonts w:ascii="Open Sans" w:hAnsi="Open Sans" w:cs="Open Sans"/>
          <w:color w:val="6E6E6E" w:themeColor="accent1" w:themeShade="80"/>
          <w:lang w:val="en-GB"/>
        </w:rPr>
        <w:t>Development of water quality and quantity monitoring, information, forecasting and management systems</w:t>
      </w:r>
      <w:r w:rsidR="00DF1907" w:rsidRPr="00D974CD">
        <w:rPr>
          <w:rFonts w:ascii="Open Sans" w:hAnsi="Open Sans" w:cs="Open Sans"/>
          <w:color w:val="6E6E6E" w:themeColor="accent1" w:themeShade="80"/>
          <w:lang w:val="en-GB"/>
        </w:rPr>
        <w:t>;</w:t>
      </w:r>
    </w:p>
    <w:p w14:paraId="2AD06656" w14:textId="57D468CA" w:rsidR="00835FB3" w:rsidRPr="00D974CD" w:rsidRDefault="00835FB3" w:rsidP="00835FB3">
      <w:pPr>
        <w:pStyle w:val="ListParagraph"/>
        <w:numPr>
          <w:ilvl w:val="0"/>
          <w:numId w:val="23"/>
        </w:numPr>
        <w:jc w:val="both"/>
        <w:rPr>
          <w:rFonts w:ascii="Open Sans" w:hAnsi="Open Sans" w:cs="Open Sans"/>
          <w:color w:val="6E6E6E" w:themeColor="accent1" w:themeShade="80"/>
          <w:lang w:val="en-GB"/>
        </w:rPr>
      </w:pPr>
      <w:r w:rsidRPr="00D974CD">
        <w:rPr>
          <w:rFonts w:ascii="Open Sans" w:hAnsi="Open Sans" w:cs="Open Sans"/>
          <w:color w:val="6E6E6E" w:themeColor="accent1" w:themeShade="80"/>
          <w:lang w:val="en-GB"/>
        </w:rPr>
        <w:t>Identification of polluting sources, the necessary measures to reduce water pollution</w:t>
      </w:r>
      <w:r w:rsidR="00DF1907" w:rsidRPr="00D974CD">
        <w:rPr>
          <w:rFonts w:ascii="Open Sans" w:hAnsi="Open Sans" w:cs="Open Sans"/>
          <w:color w:val="6E6E6E" w:themeColor="accent1" w:themeShade="80"/>
          <w:lang w:val="en-GB"/>
        </w:rPr>
        <w:t>;</w:t>
      </w:r>
    </w:p>
    <w:p w14:paraId="17F2B8CD" w14:textId="0AC4DFF5" w:rsidR="00835FB3" w:rsidRPr="00D974CD" w:rsidRDefault="00835FB3" w:rsidP="000300F6">
      <w:pPr>
        <w:pStyle w:val="ListParagraph"/>
        <w:numPr>
          <w:ilvl w:val="0"/>
          <w:numId w:val="23"/>
        </w:numPr>
        <w:jc w:val="both"/>
        <w:rPr>
          <w:rFonts w:ascii="Open Sans" w:hAnsi="Open Sans" w:cs="Open Sans"/>
          <w:color w:val="6E6E6E" w:themeColor="accent1" w:themeShade="80"/>
          <w:lang w:val="en-GB"/>
        </w:rPr>
      </w:pPr>
      <w:r w:rsidRPr="00D974CD">
        <w:rPr>
          <w:rFonts w:ascii="Open Sans" w:hAnsi="Open Sans" w:cs="Open Sans"/>
          <w:color w:val="6E6E6E" w:themeColor="accent1" w:themeShade="80"/>
          <w:lang w:val="en-GB"/>
        </w:rPr>
        <w:t xml:space="preserve">Development and modernization of water supply systems focusing only on small scale interventions that can demonstrate clear </w:t>
      </w:r>
      <w:r w:rsidR="000300F6" w:rsidRPr="00D974CD">
        <w:rPr>
          <w:rFonts w:ascii="Open Sans" w:hAnsi="Open Sans" w:cs="Open Sans"/>
          <w:color w:val="6E6E6E" w:themeColor="accent1" w:themeShade="80"/>
          <w:lang w:val="en-GB"/>
        </w:rPr>
        <w:t>cross-border</w:t>
      </w:r>
      <w:r w:rsidRPr="00D974CD">
        <w:rPr>
          <w:rFonts w:ascii="Open Sans" w:hAnsi="Open Sans" w:cs="Open Sans"/>
          <w:color w:val="6E6E6E" w:themeColor="accent1" w:themeShade="80"/>
          <w:lang w:val="en-GB"/>
        </w:rPr>
        <w:t xml:space="preserve"> impact</w:t>
      </w:r>
      <w:r w:rsidR="00DF1907" w:rsidRPr="00D974CD">
        <w:rPr>
          <w:rFonts w:ascii="Open Sans" w:hAnsi="Open Sans" w:cs="Open Sans"/>
          <w:color w:val="6E6E6E" w:themeColor="accent1" w:themeShade="80"/>
          <w:lang w:val="en-GB"/>
        </w:rPr>
        <w:t>;</w:t>
      </w:r>
    </w:p>
    <w:p w14:paraId="35F2940B" w14:textId="3DD073ED" w:rsidR="00835FB3" w:rsidRPr="00D974CD" w:rsidRDefault="00835FB3" w:rsidP="00835FB3">
      <w:pPr>
        <w:pStyle w:val="ListParagraph"/>
        <w:numPr>
          <w:ilvl w:val="0"/>
          <w:numId w:val="23"/>
        </w:numPr>
        <w:jc w:val="both"/>
        <w:rPr>
          <w:rFonts w:ascii="Open Sans" w:hAnsi="Open Sans" w:cs="Open Sans"/>
          <w:color w:val="6E6E6E" w:themeColor="accent1" w:themeShade="80"/>
          <w:lang w:val="en-GB"/>
        </w:rPr>
      </w:pPr>
      <w:r w:rsidRPr="00D974CD">
        <w:rPr>
          <w:rFonts w:ascii="Open Sans" w:hAnsi="Open Sans" w:cs="Open Sans"/>
          <w:color w:val="6E6E6E" w:themeColor="accent1" w:themeShade="80"/>
          <w:lang w:val="en-GB"/>
        </w:rPr>
        <w:t>Mitigation of the negative impacts of significant water pollutions caused by flood, collection and use of excess water, measurements for the mitigation of flood risks</w:t>
      </w:r>
      <w:r w:rsidR="00DF1907" w:rsidRPr="00D974CD">
        <w:rPr>
          <w:rFonts w:ascii="Open Sans" w:hAnsi="Open Sans" w:cs="Open Sans"/>
          <w:color w:val="6E6E6E" w:themeColor="accent1" w:themeShade="80"/>
          <w:lang w:val="en-GB"/>
        </w:rPr>
        <w:t>;</w:t>
      </w:r>
    </w:p>
    <w:p w14:paraId="32139E47" w14:textId="00FC0E3D" w:rsidR="00835FB3" w:rsidRPr="00D974CD" w:rsidRDefault="00835FB3" w:rsidP="00D974CD">
      <w:pPr>
        <w:pStyle w:val="ListParagraph"/>
        <w:numPr>
          <w:ilvl w:val="0"/>
          <w:numId w:val="23"/>
        </w:numPr>
        <w:spacing w:after="120"/>
        <w:jc w:val="both"/>
        <w:rPr>
          <w:rFonts w:ascii="Open Sans" w:hAnsi="Open Sans" w:cs="Open Sans"/>
          <w:color w:val="6E6E6E" w:themeColor="accent1" w:themeShade="80"/>
          <w:lang w:val="en-GB"/>
        </w:rPr>
      </w:pPr>
      <w:r w:rsidRPr="00D974CD">
        <w:rPr>
          <w:rFonts w:ascii="Open Sans" w:hAnsi="Open Sans" w:cs="Open Sans"/>
          <w:color w:val="6E6E6E" w:themeColor="accent1" w:themeShade="80"/>
          <w:lang w:val="en-GB"/>
        </w:rPr>
        <w:t>Preparatory measures (including studies), organization of field-related dissemination actions, exchange of best practices, development of networks, delivery of joint trainings, workshops and seminars and also awareness raising of local population</w:t>
      </w:r>
      <w:r w:rsidR="00DF1907" w:rsidRPr="00D974CD">
        <w:rPr>
          <w:rFonts w:ascii="Open Sans" w:hAnsi="Open Sans" w:cs="Open Sans"/>
          <w:color w:val="6E6E6E" w:themeColor="accent1" w:themeShade="80"/>
          <w:lang w:val="en-GB"/>
        </w:rPr>
        <w:t>;</w:t>
      </w:r>
    </w:p>
    <w:p w14:paraId="6071FBC5" w14:textId="6C4F1D81" w:rsidR="00D6139F" w:rsidRPr="00D974CD" w:rsidRDefault="00F66504" w:rsidP="0003137E">
      <w:pPr>
        <w:spacing w:line="23" w:lineRule="atLeast"/>
        <w:jc w:val="both"/>
        <w:rPr>
          <w:rFonts w:ascii="Open Sans" w:hAnsi="Open Sans" w:cs="Open Sans"/>
          <w:b/>
          <w:color w:val="6E6E6E" w:themeColor="accent1" w:themeShade="80"/>
          <w:lang w:val="en-GB"/>
        </w:rPr>
      </w:pPr>
      <w:r w:rsidRPr="00D974CD">
        <w:rPr>
          <w:rFonts w:ascii="Open Sans" w:hAnsi="Open Sans" w:cs="Open Sans"/>
          <w:b/>
          <w:color w:val="6E6E6E" w:themeColor="accent1" w:themeShade="80"/>
          <w:lang w:val="en-GB"/>
        </w:rPr>
        <w:t xml:space="preserve">When designing your project, please </w:t>
      </w:r>
      <w:r w:rsidR="00D6139F" w:rsidRPr="00D974CD">
        <w:rPr>
          <w:rFonts w:ascii="Open Sans" w:hAnsi="Open Sans" w:cs="Open Sans"/>
          <w:b/>
          <w:color w:val="6E6E6E" w:themeColor="accent1" w:themeShade="80"/>
          <w:lang w:val="en-GB"/>
        </w:rPr>
        <w:t>see also the Strategic Environmental Assessment Report, for related maps:</w:t>
      </w:r>
    </w:p>
    <w:p w14:paraId="6D84BA25" w14:textId="31A6DFD6" w:rsidR="00F66504" w:rsidRPr="00D974CD" w:rsidRDefault="00D6139F" w:rsidP="0003137E">
      <w:pPr>
        <w:numPr>
          <w:ilvl w:val="1"/>
          <w:numId w:val="58"/>
        </w:numPr>
        <w:tabs>
          <w:tab w:val="left" w:pos="1530"/>
        </w:tabs>
        <w:spacing w:after="0" w:line="23" w:lineRule="atLeast"/>
        <w:ind w:left="720" w:hanging="720"/>
        <w:jc w:val="both"/>
        <w:rPr>
          <w:rFonts w:ascii="Open Sans" w:hAnsi="Open Sans" w:cs="Open Sans"/>
          <w:b/>
          <w:color w:val="6E6E6E" w:themeColor="accent1" w:themeShade="80"/>
          <w:lang w:val="en-GB"/>
        </w:rPr>
      </w:pPr>
      <w:r w:rsidRPr="00D974CD">
        <w:rPr>
          <w:rFonts w:ascii="Open Sans" w:hAnsi="Open Sans" w:cs="Open Sans"/>
          <w:b/>
          <w:color w:val="6E6E6E" w:themeColor="accent1" w:themeShade="80"/>
          <w:lang w:val="en-GB"/>
        </w:rPr>
        <w:t>Map 11 – Surface waters in the Romanian eligible counties</w:t>
      </w:r>
      <w:r w:rsidR="00F66504" w:rsidRPr="00D974CD">
        <w:rPr>
          <w:rFonts w:ascii="Open Sans" w:hAnsi="Open Sans" w:cs="Open Sans"/>
          <w:b/>
          <w:color w:val="6E6E6E" w:themeColor="accent1" w:themeShade="80"/>
          <w:lang w:val="en-GB"/>
        </w:rPr>
        <w:t xml:space="preserve">, </w:t>
      </w:r>
    </w:p>
    <w:p w14:paraId="17E60A51" w14:textId="28605A9A" w:rsidR="00F66504" w:rsidRPr="00D974CD" w:rsidRDefault="00D6139F" w:rsidP="0003137E">
      <w:pPr>
        <w:numPr>
          <w:ilvl w:val="0"/>
          <w:numId w:val="61"/>
        </w:numPr>
        <w:spacing w:after="0" w:line="23" w:lineRule="atLeast"/>
        <w:ind w:hanging="720"/>
        <w:jc w:val="both"/>
        <w:rPr>
          <w:rFonts w:ascii="Open Sans" w:hAnsi="Open Sans" w:cs="Open Sans"/>
          <w:b/>
          <w:color w:val="6E6E6E" w:themeColor="accent1" w:themeShade="80"/>
          <w:lang w:val="en-GB"/>
        </w:rPr>
      </w:pPr>
      <w:r w:rsidRPr="00D974CD">
        <w:rPr>
          <w:rFonts w:ascii="Open Sans" w:hAnsi="Open Sans" w:cs="Open Sans"/>
          <w:b/>
          <w:color w:val="6E6E6E" w:themeColor="accent1" w:themeShade="80"/>
          <w:lang w:val="en-GB"/>
        </w:rPr>
        <w:t>Map 12 – Surface waters in the Hungarian eligible counties</w:t>
      </w:r>
      <w:r w:rsidR="00F66504" w:rsidRPr="00D974CD">
        <w:rPr>
          <w:rFonts w:ascii="Open Sans" w:hAnsi="Open Sans" w:cs="Open Sans"/>
          <w:b/>
          <w:color w:val="6E6E6E" w:themeColor="accent1" w:themeShade="80"/>
          <w:lang w:val="en-GB"/>
        </w:rPr>
        <w:t xml:space="preserve">, </w:t>
      </w:r>
    </w:p>
    <w:p w14:paraId="6F26760D" w14:textId="3DE163BF" w:rsidR="00F66504" w:rsidRPr="00D974CD" w:rsidRDefault="00D6139F" w:rsidP="0003137E">
      <w:pPr>
        <w:numPr>
          <w:ilvl w:val="0"/>
          <w:numId w:val="61"/>
        </w:numPr>
        <w:spacing w:after="0" w:line="23" w:lineRule="atLeast"/>
        <w:ind w:hanging="720"/>
        <w:jc w:val="both"/>
        <w:rPr>
          <w:rFonts w:ascii="Open Sans" w:hAnsi="Open Sans" w:cs="Open Sans"/>
          <w:b/>
          <w:color w:val="6E6E6E" w:themeColor="accent1" w:themeShade="80"/>
          <w:lang w:val="en-GB"/>
        </w:rPr>
      </w:pPr>
      <w:r w:rsidRPr="00D974CD">
        <w:rPr>
          <w:rFonts w:ascii="Open Sans" w:hAnsi="Open Sans" w:cs="Open Sans"/>
          <w:b/>
          <w:color w:val="6E6E6E" w:themeColor="accent1" w:themeShade="80"/>
          <w:lang w:val="en-GB"/>
        </w:rPr>
        <w:t>Map 13 - Areas with potentially high risk of flood in the eligible area</w:t>
      </w:r>
      <w:r w:rsidR="00F66504" w:rsidRPr="00D974CD">
        <w:rPr>
          <w:rFonts w:ascii="Open Sans" w:hAnsi="Open Sans" w:cs="Open Sans"/>
          <w:b/>
          <w:color w:val="6E6E6E" w:themeColor="accent1" w:themeShade="80"/>
          <w:lang w:val="en-GB"/>
        </w:rPr>
        <w:t xml:space="preserve">, </w:t>
      </w:r>
    </w:p>
    <w:p w14:paraId="0C1ACB81" w14:textId="695540A0" w:rsidR="005A3131" w:rsidRPr="00D974CD" w:rsidRDefault="00D6139F" w:rsidP="00F66504">
      <w:pPr>
        <w:numPr>
          <w:ilvl w:val="0"/>
          <w:numId w:val="61"/>
        </w:numPr>
        <w:spacing w:after="0" w:line="23" w:lineRule="atLeast"/>
        <w:ind w:hanging="720"/>
        <w:jc w:val="both"/>
        <w:rPr>
          <w:rFonts w:ascii="Open Sans" w:hAnsi="Open Sans" w:cs="Open Sans"/>
          <w:b/>
          <w:color w:val="6E6E6E" w:themeColor="accent1" w:themeShade="80"/>
          <w:lang w:val="en-GB"/>
        </w:rPr>
      </w:pPr>
      <w:r w:rsidRPr="00D974CD">
        <w:rPr>
          <w:rFonts w:ascii="Open Sans" w:hAnsi="Open Sans" w:cs="Open Sans"/>
          <w:b/>
          <w:color w:val="6E6E6E" w:themeColor="accent1" w:themeShade="80"/>
          <w:lang w:val="en-GB"/>
        </w:rPr>
        <w:t xml:space="preserve">Map 14 </w:t>
      </w:r>
      <w:r w:rsidR="00D267E6" w:rsidRPr="00D974CD">
        <w:rPr>
          <w:rFonts w:ascii="Open Sans" w:hAnsi="Open Sans" w:cs="Open Sans"/>
          <w:b/>
          <w:color w:val="6E6E6E" w:themeColor="accent1" w:themeShade="80"/>
          <w:lang w:val="en-GB"/>
        </w:rPr>
        <w:t>–</w:t>
      </w:r>
      <w:proofErr w:type="spellStart"/>
      <w:r w:rsidR="00D267E6" w:rsidRPr="00D974CD">
        <w:rPr>
          <w:rFonts w:ascii="Open Sans" w:hAnsi="Open Sans" w:cs="Open Sans"/>
          <w:b/>
          <w:color w:val="6E6E6E" w:themeColor="accent1" w:themeShade="80"/>
          <w:lang w:val="en-GB"/>
        </w:rPr>
        <w:t>Transboundary</w:t>
      </w:r>
      <w:proofErr w:type="spellEnd"/>
      <w:r w:rsidR="00D267E6" w:rsidRPr="00D974CD">
        <w:rPr>
          <w:rFonts w:ascii="Open Sans" w:hAnsi="Open Sans" w:cs="Open Sans"/>
          <w:b/>
          <w:color w:val="6E6E6E" w:themeColor="accent1" w:themeShade="80"/>
          <w:lang w:val="en-GB"/>
        </w:rPr>
        <w:t xml:space="preserve"> Groundwater Bodies of Basin-Wide Importance and their Transnational Monitoring Network (Danube River Basin District)</w:t>
      </w:r>
    </w:p>
    <w:p w14:paraId="780A6071" w14:textId="2F0083AB" w:rsidR="00F66504" w:rsidRPr="00D974CD" w:rsidRDefault="00F66504" w:rsidP="00D974CD">
      <w:pPr>
        <w:spacing w:before="120" w:after="120"/>
        <w:jc w:val="both"/>
        <w:rPr>
          <w:rFonts w:ascii="Open Sans" w:hAnsi="Open Sans" w:cs="Open Sans"/>
          <w:b/>
          <w:color w:val="6E6E6E" w:themeColor="accent1" w:themeShade="80"/>
          <w:lang w:val="en-GB"/>
        </w:rPr>
      </w:pPr>
      <w:r w:rsidRPr="00D974CD">
        <w:rPr>
          <w:rFonts w:ascii="Open Sans" w:hAnsi="Open Sans" w:cs="Open Sans"/>
          <w:b/>
          <w:color w:val="6E6E6E" w:themeColor="accent1" w:themeShade="80"/>
          <w:lang w:val="en-GB"/>
        </w:rPr>
        <w:t xml:space="preserve">NO SUPPORT will be provided to projects envisaging </w:t>
      </w:r>
      <w:r w:rsidR="003A31C0" w:rsidRPr="00D974CD">
        <w:rPr>
          <w:rFonts w:ascii="Open Sans" w:hAnsi="Open Sans" w:cs="Open Sans"/>
          <w:b/>
          <w:color w:val="6E6E6E" w:themeColor="accent1" w:themeShade="80"/>
          <w:lang w:val="en-GB"/>
        </w:rPr>
        <w:t>exclusively</w:t>
      </w:r>
      <w:r w:rsidRPr="00D974CD">
        <w:rPr>
          <w:rFonts w:ascii="Open Sans" w:hAnsi="Open Sans" w:cs="Open Sans"/>
          <w:b/>
          <w:color w:val="6E6E6E" w:themeColor="accent1" w:themeShade="80"/>
          <w:lang w:val="en-GB"/>
        </w:rPr>
        <w:t>:</w:t>
      </w:r>
    </w:p>
    <w:p w14:paraId="4122C6DD" w14:textId="5F0667BA" w:rsidR="00F66504" w:rsidRPr="00D974CD" w:rsidRDefault="00D502AF" w:rsidP="00F66504">
      <w:pPr>
        <w:numPr>
          <w:ilvl w:val="0"/>
          <w:numId w:val="62"/>
        </w:numPr>
        <w:spacing w:after="0" w:line="240" w:lineRule="auto"/>
        <w:ind w:hanging="720"/>
        <w:jc w:val="both"/>
        <w:rPr>
          <w:rFonts w:ascii="Open Sans" w:hAnsi="Open Sans" w:cs="Open Sans"/>
          <w:b/>
          <w:color w:val="6E6E6E" w:themeColor="accent1" w:themeShade="80"/>
          <w:lang w:val="en-GB"/>
        </w:rPr>
      </w:pPr>
      <w:r w:rsidRPr="00D974CD">
        <w:rPr>
          <w:rFonts w:ascii="Open Sans" w:hAnsi="Open Sans" w:cs="Open Sans"/>
          <w:b/>
          <w:color w:val="6E6E6E" w:themeColor="accent1" w:themeShade="80"/>
          <w:lang w:val="en-GB"/>
        </w:rPr>
        <w:t>studies, workshops, seminars or training,</w:t>
      </w:r>
      <w:r w:rsidR="00F66504" w:rsidRPr="00D974CD">
        <w:rPr>
          <w:rFonts w:ascii="Open Sans" w:hAnsi="Open Sans" w:cs="Open Sans"/>
          <w:b/>
          <w:color w:val="6E6E6E" w:themeColor="accent1" w:themeShade="80"/>
          <w:lang w:val="en-GB"/>
        </w:rPr>
        <w:t xml:space="preserve"> OR</w:t>
      </w:r>
    </w:p>
    <w:p w14:paraId="21DE427F" w14:textId="43ACF47D" w:rsidR="00A169DD" w:rsidRPr="00D974CD" w:rsidRDefault="00D502AF" w:rsidP="00D974CD">
      <w:pPr>
        <w:numPr>
          <w:ilvl w:val="0"/>
          <w:numId w:val="62"/>
        </w:numPr>
        <w:spacing w:after="120" w:line="240" w:lineRule="auto"/>
        <w:ind w:hanging="720"/>
        <w:jc w:val="both"/>
        <w:rPr>
          <w:rFonts w:ascii="Open Sans" w:hAnsi="Open Sans" w:cs="Open Sans"/>
          <w:b/>
          <w:color w:val="6E6E6E" w:themeColor="accent1" w:themeShade="80"/>
          <w:lang w:val="en-GB"/>
        </w:rPr>
      </w:pPr>
      <w:proofErr w:type="gramStart"/>
      <w:r w:rsidRPr="00D974CD">
        <w:rPr>
          <w:rFonts w:ascii="Open Sans" w:hAnsi="Open Sans" w:cs="Open Sans"/>
          <w:b/>
          <w:color w:val="6E6E6E" w:themeColor="accent1" w:themeShade="80"/>
          <w:lang w:val="en-GB"/>
        </w:rPr>
        <w:t>awareness</w:t>
      </w:r>
      <w:proofErr w:type="gramEnd"/>
      <w:r w:rsidRPr="00D974CD">
        <w:rPr>
          <w:rFonts w:ascii="Open Sans" w:hAnsi="Open Sans" w:cs="Open Sans"/>
          <w:b/>
          <w:color w:val="6E6E6E" w:themeColor="accent1" w:themeShade="80"/>
          <w:lang w:val="en-GB"/>
        </w:rPr>
        <w:t xml:space="preserve"> raising </w:t>
      </w:r>
      <w:r w:rsidR="00F66504" w:rsidRPr="00D974CD">
        <w:rPr>
          <w:rFonts w:ascii="Open Sans" w:hAnsi="Open Sans" w:cs="Open Sans"/>
          <w:b/>
          <w:color w:val="6E6E6E" w:themeColor="accent1" w:themeShade="80"/>
          <w:lang w:val="en-GB"/>
        </w:rPr>
        <w:t xml:space="preserve">activities &amp; </w:t>
      </w:r>
      <w:r w:rsidRPr="00D974CD">
        <w:rPr>
          <w:rFonts w:ascii="Open Sans" w:hAnsi="Open Sans" w:cs="Open Sans"/>
          <w:b/>
          <w:color w:val="6E6E6E" w:themeColor="accent1" w:themeShade="80"/>
          <w:lang w:val="en-GB"/>
        </w:rPr>
        <w:t>exchange of best practice or similar activities.</w:t>
      </w:r>
      <w:r w:rsidR="00F66504" w:rsidRPr="00D974CD">
        <w:rPr>
          <w:rFonts w:ascii="Open Sans" w:hAnsi="Open Sans" w:cs="Open Sans"/>
          <w:b/>
          <w:color w:val="6E6E6E" w:themeColor="accent1" w:themeShade="80"/>
          <w:lang w:val="en-GB"/>
        </w:rPr>
        <w:t xml:space="preserve"> </w:t>
      </w:r>
    </w:p>
    <w:p w14:paraId="7F981636" w14:textId="71EF8A50" w:rsidR="00F66504" w:rsidRPr="00D974CD" w:rsidRDefault="00F66504" w:rsidP="00F66504">
      <w:pPr>
        <w:jc w:val="both"/>
        <w:rPr>
          <w:rFonts w:ascii="Open Sans" w:hAnsi="Open Sans" w:cs="Open Sans"/>
          <w:b/>
          <w:color w:val="6E6E6E" w:themeColor="accent1" w:themeShade="80"/>
          <w:lang w:val="en-GB"/>
        </w:rPr>
      </w:pPr>
      <w:r w:rsidRPr="00D974CD">
        <w:rPr>
          <w:rFonts w:ascii="Open Sans" w:hAnsi="Open Sans" w:cs="Open Sans"/>
          <w:b/>
          <w:color w:val="6E6E6E" w:themeColor="accent1" w:themeShade="80"/>
          <w:lang w:val="en-GB"/>
        </w:rPr>
        <w:t xml:space="preserve">The scope of the project and the related activities will have to ensure the </w:t>
      </w:r>
      <w:r w:rsidR="003A31C0" w:rsidRPr="00D974CD">
        <w:rPr>
          <w:rFonts w:ascii="Open Sans" w:hAnsi="Open Sans" w:cs="Open Sans"/>
          <w:b/>
          <w:color w:val="6E6E6E" w:themeColor="accent1" w:themeShade="80"/>
          <w:lang w:val="en-GB"/>
        </w:rPr>
        <w:t>fulfilment</w:t>
      </w:r>
      <w:r w:rsidRPr="00D974CD">
        <w:rPr>
          <w:rFonts w:ascii="Open Sans" w:hAnsi="Open Sans" w:cs="Open Sans"/>
          <w:b/>
          <w:color w:val="6E6E6E" w:themeColor="accent1" w:themeShade="80"/>
          <w:lang w:val="en-GB"/>
        </w:rPr>
        <w:t xml:space="preserve"> of the program</w:t>
      </w:r>
      <w:r w:rsidR="009634AF" w:rsidRPr="00D974CD">
        <w:rPr>
          <w:rFonts w:ascii="Open Sans" w:hAnsi="Open Sans" w:cs="Open Sans"/>
          <w:b/>
          <w:color w:val="6E6E6E" w:themeColor="accent1" w:themeShade="80"/>
          <w:lang w:val="en-GB"/>
        </w:rPr>
        <w:t>me</w:t>
      </w:r>
      <w:r w:rsidRPr="00D974CD">
        <w:rPr>
          <w:rFonts w:ascii="Open Sans" w:hAnsi="Open Sans" w:cs="Open Sans"/>
          <w:b/>
          <w:color w:val="6E6E6E" w:themeColor="accent1" w:themeShade="80"/>
          <w:lang w:val="en-GB"/>
        </w:rPr>
        <w:t xml:space="preserve">’s specific objective related to the </w:t>
      </w:r>
      <w:proofErr w:type="gramStart"/>
      <w:r w:rsidR="00FD7F20" w:rsidRPr="00D974CD">
        <w:rPr>
          <w:rFonts w:ascii="Open Sans" w:hAnsi="Open Sans" w:cs="Open Sans"/>
          <w:b/>
          <w:i/>
          <w:color w:val="6E6E6E" w:themeColor="accent1" w:themeShade="80"/>
          <w:lang w:val="en-GB"/>
        </w:rPr>
        <w:t>Improved</w:t>
      </w:r>
      <w:proofErr w:type="gramEnd"/>
      <w:r w:rsidR="00FD7F20" w:rsidRPr="00D974CD">
        <w:rPr>
          <w:rFonts w:ascii="Open Sans" w:hAnsi="Open Sans" w:cs="Open Sans"/>
          <w:b/>
          <w:i/>
          <w:color w:val="6E6E6E" w:themeColor="accent1" w:themeShade="80"/>
          <w:lang w:val="en-GB"/>
        </w:rPr>
        <w:t xml:space="preserve"> quality management of cross-border rivers and ground water bodies</w:t>
      </w:r>
      <w:r w:rsidRPr="00D974CD">
        <w:rPr>
          <w:rFonts w:ascii="Open Sans" w:hAnsi="Open Sans" w:cs="Open Sans"/>
          <w:b/>
          <w:i/>
          <w:color w:val="6E6E6E" w:themeColor="accent1" w:themeShade="80"/>
          <w:lang w:val="en-GB"/>
        </w:rPr>
        <w:t xml:space="preserve">, </w:t>
      </w:r>
      <w:r w:rsidRPr="00D974CD">
        <w:rPr>
          <w:rFonts w:ascii="Open Sans" w:hAnsi="Open Sans" w:cs="Open Sans"/>
          <w:b/>
          <w:color w:val="6E6E6E" w:themeColor="accent1" w:themeShade="80"/>
          <w:lang w:val="en-GB"/>
        </w:rPr>
        <w:t>in a way that</w:t>
      </w:r>
      <w:r w:rsidR="00FD7F20" w:rsidRPr="00D974CD">
        <w:rPr>
          <w:rFonts w:ascii="Open Sans" w:hAnsi="Open Sans" w:cs="Open Sans"/>
          <w:b/>
          <w:color w:val="6E6E6E" w:themeColor="accent1" w:themeShade="80"/>
          <w:lang w:val="en-GB"/>
        </w:rPr>
        <w:t>, following the investments,</w:t>
      </w:r>
      <w:r w:rsidRPr="00D974CD">
        <w:rPr>
          <w:rFonts w:ascii="Open Sans" w:hAnsi="Open Sans" w:cs="Open Sans"/>
          <w:b/>
          <w:color w:val="6E6E6E" w:themeColor="accent1" w:themeShade="80"/>
          <w:lang w:val="en-GB"/>
        </w:rPr>
        <w:t xml:space="preserve"> </w:t>
      </w:r>
      <w:r w:rsidR="00FE1C62" w:rsidRPr="00D974CD">
        <w:rPr>
          <w:rFonts w:ascii="Open Sans" w:hAnsi="Open Sans" w:cs="Open Sans"/>
          <w:b/>
          <w:color w:val="6E6E6E" w:themeColor="accent1" w:themeShade="80"/>
          <w:lang w:val="en-GB"/>
        </w:rPr>
        <w:t>t</w:t>
      </w:r>
      <w:r w:rsidR="00FD7F20" w:rsidRPr="00D974CD">
        <w:rPr>
          <w:rFonts w:ascii="Open Sans" w:hAnsi="Open Sans" w:cs="Open Sans"/>
          <w:b/>
          <w:color w:val="6E6E6E" w:themeColor="accent1" w:themeShade="80"/>
          <w:lang w:val="en-GB"/>
        </w:rPr>
        <w:t>he water quality of cross-border rivers</w:t>
      </w:r>
      <w:r w:rsidR="003F2194" w:rsidRPr="00D974CD">
        <w:rPr>
          <w:rFonts w:ascii="Open Sans" w:hAnsi="Open Sans" w:cs="Open Sans"/>
          <w:b/>
          <w:color w:val="6E6E6E" w:themeColor="accent1" w:themeShade="80"/>
          <w:lang w:val="en-GB"/>
        </w:rPr>
        <w:t xml:space="preserve"> will increase</w:t>
      </w:r>
      <w:r w:rsidR="00FD7F20" w:rsidRPr="00D974CD">
        <w:rPr>
          <w:rFonts w:ascii="Open Sans" w:hAnsi="Open Sans" w:cs="Open Sans"/>
          <w:b/>
          <w:color w:val="6E6E6E" w:themeColor="accent1" w:themeShade="80"/>
          <w:lang w:val="en-GB"/>
        </w:rPr>
        <w:t xml:space="preserve"> at the measurement points.</w:t>
      </w:r>
    </w:p>
    <w:p w14:paraId="0D725350" w14:textId="2260AB6D" w:rsidR="00D601AC" w:rsidRPr="00D974CD" w:rsidRDefault="003C427A" w:rsidP="002B28B1">
      <w:pPr>
        <w:shd w:val="clear" w:color="auto" w:fill="707070" w:themeFill="accent3" w:themeFillShade="BF"/>
        <w:jc w:val="both"/>
        <w:rPr>
          <w:rFonts w:ascii="Open Sans" w:hAnsi="Open Sans" w:cs="Open Sans"/>
          <w:b/>
          <w:color w:val="6E6E6E" w:themeColor="accent1" w:themeShade="80"/>
          <w:lang w:val="en-GB"/>
        </w:rPr>
      </w:pPr>
      <w:r w:rsidRPr="00D974CD">
        <w:rPr>
          <w:rFonts w:ascii="Open Sans" w:hAnsi="Open Sans" w:cs="Open Sans"/>
          <w:b/>
          <w:color w:val="6E6E6E" w:themeColor="accent1" w:themeShade="80"/>
          <w:sz w:val="72"/>
          <w:szCs w:val="72"/>
          <w:lang w:val="en-GB"/>
        </w:rPr>
        <w:lastRenderedPageBreak/>
        <w:sym w:font="Wingdings" w:char="F04A"/>
      </w:r>
      <w:r w:rsidR="00E74021" w:rsidRPr="00D974CD">
        <w:rPr>
          <w:rFonts w:ascii="Open Sans" w:hAnsi="Open Sans" w:cs="Open Sans"/>
          <w:b/>
          <w:color w:val="6E6E6E" w:themeColor="accent1" w:themeShade="80"/>
          <w:lang w:val="en-GB"/>
        </w:rPr>
        <w:t xml:space="preserve">The </w:t>
      </w:r>
      <w:proofErr w:type="gramStart"/>
      <w:r w:rsidR="00D601AC" w:rsidRPr="00D974CD">
        <w:rPr>
          <w:rFonts w:ascii="Open Sans" w:hAnsi="Open Sans" w:cs="Open Sans"/>
          <w:b/>
          <w:color w:val="6E6E6E" w:themeColor="accent1" w:themeShade="80"/>
          <w:lang w:val="en-GB"/>
        </w:rPr>
        <w:t>list of potential beneficiaries include</w:t>
      </w:r>
      <w:proofErr w:type="gramEnd"/>
      <w:r w:rsidR="00D601AC" w:rsidRPr="00D974CD">
        <w:rPr>
          <w:rFonts w:ascii="Open Sans" w:hAnsi="Open Sans" w:cs="Open Sans"/>
          <w:b/>
          <w:color w:val="6E6E6E" w:themeColor="accent1" w:themeShade="80"/>
          <w:lang w:val="en-GB"/>
        </w:rPr>
        <w:t>:</w:t>
      </w:r>
    </w:p>
    <w:p w14:paraId="75F2E58C" w14:textId="28D9FCCD" w:rsidR="00D601AC" w:rsidRPr="00D974CD" w:rsidRDefault="00E7193F" w:rsidP="000D561D">
      <w:pPr>
        <w:pStyle w:val="ListParagraph"/>
        <w:numPr>
          <w:ilvl w:val="0"/>
          <w:numId w:val="24"/>
        </w:numPr>
        <w:jc w:val="both"/>
        <w:rPr>
          <w:rFonts w:ascii="Open Sans" w:hAnsi="Open Sans" w:cs="Open Sans"/>
          <w:color w:val="6E6E6E" w:themeColor="accent1" w:themeShade="80"/>
          <w:lang w:val="en-GB"/>
        </w:rPr>
      </w:pPr>
      <w:r>
        <w:rPr>
          <w:rFonts w:ascii="Open Sans" w:hAnsi="Open Sans" w:cs="Open Sans"/>
          <w:color w:val="6E6E6E" w:themeColor="accent1" w:themeShade="80"/>
          <w:lang w:val="en-GB"/>
        </w:rPr>
        <w:t xml:space="preserve">Local, </w:t>
      </w:r>
      <w:r w:rsidR="00D601AC" w:rsidRPr="00D974CD">
        <w:rPr>
          <w:rFonts w:ascii="Open Sans" w:hAnsi="Open Sans" w:cs="Open Sans"/>
          <w:color w:val="6E6E6E" w:themeColor="accent1" w:themeShade="80"/>
          <w:lang w:val="en-GB"/>
        </w:rPr>
        <w:t>county</w:t>
      </w:r>
      <w:r>
        <w:rPr>
          <w:rFonts w:ascii="Open Sans" w:hAnsi="Open Sans" w:cs="Open Sans"/>
          <w:color w:val="6E6E6E" w:themeColor="accent1" w:themeShade="80"/>
          <w:lang w:val="en-GB"/>
        </w:rPr>
        <w:t xml:space="preserve"> and central</w:t>
      </w:r>
      <w:r w:rsidR="00D601AC" w:rsidRPr="00D974CD">
        <w:rPr>
          <w:rFonts w:ascii="Open Sans" w:hAnsi="Open Sans" w:cs="Open Sans"/>
          <w:color w:val="6E6E6E" w:themeColor="accent1" w:themeShade="80"/>
          <w:lang w:val="en-GB"/>
        </w:rPr>
        <w:t xml:space="preserve"> governments / administrations and their institutions</w:t>
      </w:r>
    </w:p>
    <w:p w14:paraId="00AB9B60" w14:textId="77777777" w:rsidR="00627341" w:rsidRPr="00D974CD" w:rsidRDefault="00627341" w:rsidP="00627341">
      <w:pPr>
        <w:pStyle w:val="ListParagraph"/>
        <w:numPr>
          <w:ilvl w:val="0"/>
          <w:numId w:val="24"/>
        </w:numPr>
        <w:jc w:val="both"/>
        <w:rPr>
          <w:rFonts w:ascii="Open Sans" w:hAnsi="Open Sans" w:cs="Open Sans"/>
          <w:color w:val="6E6E6E" w:themeColor="accent1" w:themeShade="80"/>
          <w:lang w:val="en-GB"/>
        </w:rPr>
      </w:pPr>
      <w:r w:rsidRPr="00D974CD">
        <w:rPr>
          <w:rFonts w:ascii="Open Sans" w:hAnsi="Open Sans" w:cs="Open Sans"/>
          <w:color w:val="6E6E6E" w:themeColor="accent1" w:themeShade="80"/>
          <w:lang w:val="en-GB"/>
        </w:rPr>
        <w:t>Water Management Authorities</w:t>
      </w:r>
    </w:p>
    <w:p w14:paraId="527457F0" w14:textId="4CDD657C" w:rsidR="00627341" w:rsidRPr="00D974CD" w:rsidRDefault="00627341" w:rsidP="00627341">
      <w:pPr>
        <w:pStyle w:val="ListParagraph"/>
        <w:numPr>
          <w:ilvl w:val="0"/>
          <w:numId w:val="24"/>
        </w:numPr>
        <w:jc w:val="both"/>
        <w:rPr>
          <w:rFonts w:ascii="Open Sans" w:hAnsi="Open Sans" w:cs="Open Sans"/>
          <w:color w:val="6E6E6E" w:themeColor="accent1" w:themeShade="80"/>
          <w:lang w:val="en-GB"/>
        </w:rPr>
      </w:pPr>
      <w:r w:rsidRPr="00D974CD">
        <w:rPr>
          <w:rFonts w:ascii="Open Sans" w:hAnsi="Open Sans" w:cs="Open Sans"/>
          <w:color w:val="6E6E6E" w:themeColor="accent1" w:themeShade="80"/>
          <w:lang w:val="en-GB"/>
        </w:rPr>
        <w:t>National / Natural Parks administrations</w:t>
      </w:r>
    </w:p>
    <w:p w14:paraId="545E7684" w14:textId="646A4211" w:rsidR="00627341" w:rsidRPr="00D974CD" w:rsidRDefault="00627341" w:rsidP="00627341">
      <w:pPr>
        <w:pStyle w:val="ListParagraph"/>
        <w:numPr>
          <w:ilvl w:val="0"/>
          <w:numId w:val="24"/>
        </w:numPr>
        <w:jc w:val="both"/>
        <w:rPr>
          <w:rFonts w:ascii="Open Sans" w:hAnsi="Open Sans" w:cs="Open Sans"/>
          <w:color w:val="6E6E6E" w:themeColor="accent1" w:themeShade="80"/>
          <w:lang w:val="en-GB"/>
        </w:rPr>
      </w:pPr>
      <w:r w:rsidRPr="00D974CD">
        <w:rPr>
          <w:rFonts w:ascii="Open Sans" w:hAnsi="Open Sans" w:cs="Open Sans"/>
          <w:color w:val="6E6E6E" w:themeColor="accent1" w:themeShade="80"/>
          <w:lang w:val="en-GB"/>
        </w:rPr>
        <w:t>Environmental protection institutions</w:t>
      </w:r>
    </w:p>
    <w:p w14:paraId="46F59393" w14:textId="3C1BBFD4" w:rsidR="00627341" w:rsidRPr="00D974CD" w:rsidRDefault="00627341" w:rsidP="00627341">
      <w:pPr>
        <w:pStyle w:val="ListParagraph"/>
        <w:numPr>
          <w:ilvl w:val="0"/>
          <w:numId w:val="24"/>
        </w:numPr>
        <w:jc w:val="both"/>
        <w:rPr>
          <w:rFonts w:ascii="Open Sans" w:hAnsi="Open Sans" w:cs="Open Sans"/>
          <w:color w:val="6E6E6E" w:themeColor="accent1" w:themeShade="80"/>
          <w:lang w:val="en-GB"/>
        </w:rPr>
      </w:pPr>
      <w:r w:rsidRPr="00D974CD">
        <w:rPr>
          <w:rFonts w:ascii="Open Sans" w:hAnsi="Open Sans" w:cs="Open Sans"/>
          <w:color w:val="6E6E6E" w:themeColor="accent1" w:themeShade="80"/>
          <w:lang w:val="en-GB"/>
        </w:rPr>
        <w:t>Non-governmental organisations</w:t>
      </w:r>
    </w:p>
    <w:p w14:paraId="562B3E46" w14:textId="519ABEC3" w:rsidR="00627341" w:rsidRPr="00D974CD" w:rsidRDefault="00627341" w:rsidP="00627341">
      <w:pPr>
        <w:pStyle w:val="ListParagraph"/>
        <w:numPr>
          <w:ilvl w:val="0"/>
          <w:numId w:val="24"/>
        </w:numPr>
        <w:jc w:val="both"/>
        <w:rPr>
          <w:rFonts w:ascii="Open Sans" w:hAnsi="Open Sans" w:cs="Open Sans"/>
          <w:color w:val="6E6E6E" w:themeColor="accent1" w:themeShade="80"/>
          <w:lang w:val="en-GB"/>
        </w:rPr>
      </w:pPr>
      <w:proofErr w:type="spellStart"/>
      <w:r w:rsidRPr="00D974CD">
        <w:rPr>
          <w:rFonts w:ascii="Open Sans" w:hAnsi="Open Sans" w:cs="Open Sans"/>
          <w:color w:val="6E6E6E" w:themeColor="accent1" w:themeShade="80"/>
          <w:lang w:val="en-GB"/>
        </w:rPr>
        <w:t>Microregional</w:t>
      </w:r>
      <w:proofErr w:type="spellEnd"/>
      <w:r w:rsidRPr="00D974CD">
        <w:rPr>
          <w:rFonts w:ascii="Open Sans" w:hAnsi="Open Sans" w:cs="Open Sans"/>
          <w:color w:val="6E6E6E" w:themeColor="accent1" w:themeShade="80"/>
          <w:lang w:val="en-GB"/>
        </w:rPr>
        <w:t xml:space="preserve"> associations</w:t>
      </w:r>
    </w:p>
    <w:p w14:paraId="5400F565" w14:textId="07D38C26" w:rsidR="00627341" w:rsidRPr="00D974CD" w:rsidRDefault="00627341" w:rsidP="00627341">
      <w:pPr>
        <w:pStyle w:val="ListParagraph"/>
        <w:numPr>
          <w:ilvl w:val="0"/>
          <w:numId w:val="24"/>
        </w:numPr>
        <w:jc w:val="both"/>
        <w:rPr>
          <w:rFonts w:ascii="Open Sans" w:hAnsi="Open Sans" w:cs="Open Sans"/>
          <w:color w:val="6E6E6E" w:themeColor="accent1" w:themeShade="80"/>
          <w:lang w:val="en-GB"/>
        </w:rPr>
      </w:pPr>
      <w:r w:rsidRPr="00D974CD">
        <w:rPr>
          <w:rFonts w:ascii="Open Sans" w:hAnsi="Open Sans" w:cs="Open Sans"/>
          <w:color w:val="6E6E6E" w:themeColor="accent1" w:themeShade="80"/>
          <w:lang w:val="en-GB"/>
        </w:rPr>
        <w:t>Regional and county development agencies</w:t>
      </w:r>
    </w:p>
    <w:p w14:paraId="43D30818" w14:textId="739D4C8D" w:rsidR="00627341" w:rsidRPr="00D974CD" w:rsidRDefault="00627341" w:rsidP="00627341">
      <w:pPr>
        <w:pStyle w:val="ListParagraph"/>
        <w:numPr>
          <w:ilvl w:val="0"/>
          <w:numId w:val="24"/>
        </w:numPr>
        <w:jc w:val="both"/>
        <w:rPr>
          <w:rFonts w:ascii="Open Sans" w:hAnsi="Open Sans" w:cs="Open Sans"/>
          <w:color w:val="6E6E6E" w:themeColor="accent1" w:themeShade="80"/>
          <w:lang w:val="en-GB"/>
        </w:rPr>
      </w:pPr>
      <w:r w:rsidRPr="00D974CD">
        <w:rPr>
          <w:rFonts w:ascii="Open Sans" w:hAnsi="Open Sans" w:cs="Open Sans"/>
          <w:color w:val="6E6E6E" w:themeColor="accent1" w:themeShade="80"/>
          <w:lang w:val="en-GB"/>
        </w:rPr>
        <w:t xml:space="preserve">Management organisations of </w:t>
      </w:r>
      <w:proofErr w:type="spellStart"/>
      <w:r w:rsidRPr="00D974CD">
        <w:rPr>
          <w:rFonts w:ascii="Open Sans" w:hAnsi="Open Sans" w:cs="Open Sans"/>
          <w:color w:val="6E6E6E" w:themeColor="accent1" w:themeShade="80"/>
          <w:lang w:val="en-GB"/>
        </w:rPr>
        <w:t>Euroregions</w:t>
      </w:r>
      <w:proofErr w:type="spellEnd"/>
    </w:p>
    <w:p w14:paraId="640CA55E" w14:textId="6C172C07" w:rsidR="00627341" w:rsidRPr="00D974CD" w:rsidRDefault="00627341" w:rsidP="00627341">
      <w:pPr>
        <w:pStyle w:val="ListParagraph"/>
        <w:numPr>
          <w:ilvl w:val="0"/>
          <w:numId w:val="24"/>
        </w:numPr>
        <w:jc w:val="both"/>
        <w:rPr>
          <w:rFonts w:ascii="Open Sans" w:hAnsi="Open Sans" w:cs="Open Sans"/>
          <w:color w:val="6E6E6E" w:themeColor="accent1" w:themeShade="80"/>
          <w:lang w:val="en-GB"/>
        </w:rPr>
      </w:pPr>
      <w:r w:rsidRPr="00D974CD">
        <w:rPr>
          <w:rFonts w:ascii="Open Sans" w:hAnsi="Open Sans" w:cs="Open Sans"/>
          <w:color w:val="6E6E6E" w:themeColor="accent1" w:themeShade="80"/>
          <w:lang w:val="en-GB"/>
        </w:rPr>
        <w:t>European Grouping of Territorial Cooperation (EGTC)</w:t>
      </w:r>
    </w:p>
    <w:p w14:paraId="7C1E1F77" w14:textId="27693C3F" w:rsidR="003E557E" w:rsidRPr="00D974CD" w:rsidRDefault="00E81811" w:rsidP="002B28B1">
      <w:pPr>
        <w:shd w:val="clear" w:color="auto" w:fill="707070" w:themeFill="accent3" w:themeFillShade="BF"/>
        <w:rPr>
          <w:rFonts w:ascii="Open Sans" w:hAnsi="Open Sans" w:cs="Open Sans"/>
          <w:b/>
          <w:color w:val="6E6E6E" w:themeColor="accent1" w:themeShade="80"/>
          <w:lang w:val="en-GB"/>
        </w:rPr>
      </w:pPr>
      <w:r w:rsidRPr="00D974CD">
        <w:rPr>
          <w:rFonts w:ascii="Arial" w:hAnsi="Arial" w:cs="Arial"/>
          <w:b/>
          <w:color w:val="6E6E6E" w:themeColor="accent1" w:themeShade="80"/>
          <w:sz w:val="72"/>
          <w:szCs w:val="72"/>
          <w:lang w:val="en-GB"/>
        </w:rPr>
        <w:t>ʘ</w:t>
      </w:r>
      <w:r w:rsidRPr="00D974CD">
        <w:rPr>
          <w:rFonts w:ascii="Open Sans" w:hAnsi="Open Sans" w:cs="Open Sans"/>
          <w:b/>
          <w:color w:val="6E6E6E" w:themeColor="accent1" w:themeShade="80"/>
          <w:sz w:val="72"/>
          <w:szCs w:val="72"/>
          <w:lang w:val="en-GB"/>
        </w:rPr>
        <w:t xml:space="preserve"> </w:t>
      </w:r>
      <w:r w:rsidR="003E557E" w:rsidRPr="00D974CD">
        <w:rPr>
          <w:rFonts w:ascii="Open Sans" w:hAnsi="Open Sans" w:cs="Open Sans"/>
          <w:b/>
          <w:color w:val="6E6E6E" w:themeColor="accent1" w:themeShade="80"/>
          <w:lang w:val="en-GB"/>
        </w:rPr>
        <w:t xml:space="preserve">Target groups: </w:t>
      </w:r>
    </w:p>
    <w:p w14:paraId="5FA93793" w14:textId="4BC7CB37" w:rsidR="00E26023" w:rsidRPr="00D974CD" w:rsidRDefault="003E557E" w:rsidP="00E81811">
      <w:pPr>
        <w:rPr>
          <w:rFonts w:ascii="Open Sans" w:hAnsi="Open Sans" w:cs="Open Sans"/>
          <w:color w:val="6E6E6E" w:themeColor="accent1" w:themeShade="80"/>
          <w:lang w:val="en-GB"/>
        </w:rPr>
      </w:pPr>
      <w:r w:rsidRPr="00D974CD">
        <w:rPr>
          <w:rFonts w:ascii="Open Sans" w:hAnsi="Open Sans" w:cs="Open Sans"/>
          <w:color w:val="6E6E6E" w:themeColor="accent1" w:themeShade="80"/>
          <w:lang w:val="en-GB"/>
        </w:rPr>
        <w:t xml:space="preserve">People living </w:t>
      </w:r>
      <w:r w:rsidR="00627341" w:rsidRPr="00D974CD">
        <w:rPr>
          <w:rFonts w:ascii="Open Sans" w:hAnsi="Open Sans" w:cs="Open Sans"/>
          <w:color w:val="6E6E6E" w:themeColor="accent1" w:themeShade="80"/>
          <w:lang w:val="en-GB"/>
        </w:rPr>
        <w:t>in the eligible area</w:t>
      </w:r>
    </w:p>
    <w:p w14:paraId="4452CF8E" w14:textId="24B16C03" w:rsidR="008D2A54" w:rsidRPr="00D974CD" w:rsidRDefault="007F43EC" w:rsidP="002B28B1">
      <w:pPr>
        <w:shd w:val="clear" w:color="auto" w:fill="707070" w:themeFill="accent3" w:themeFillShade="BF"/>
        <w:jc w:val="both"/>
        <w:rPr>
          <w:rFonts w:ascii="Open Sans" w:hAnsi="Open Sans" w:cs="Open Sans"/>
          <w:b/>
          <w:color w:val="6E6E6E" w:themeColor="accent1" w:themeShade="80"/>
          <w:sz w:val="24"/>
          <w:szCs w:val="24"/>
          <w:lang w:val="en-GB"/>
        </w:rPr>
      </w:pPr>
      <w:r w:rsidRPr="00D974CD">
        <w:rPr>
          <w:rFonts w:ascii="Open Sans" w:hAnsi="Open Sans" w:cs="Open Sans"/>
          <w:b/>
          <w:color w:val="6E6E6E" w:themeColor="accent1" w:themeShade="80"/>
          <w:sz w:val="72"/>
          <w:szCs w:val="72"/>
          <w:lang w:val="en-GB"/>
        </w:rPr>
        <w:sym w:font="Wingdings" w:char="F03A"/>
      </w:r>
      <w:r w:rsidR="008D2A54" w:rsidRPr="00D974CD">
        <w:rPr>
          <w:rFonts w:ascii="Open Sans" w:hAnsi="Open Sans" w:cs="Open Sans"/>
          <w:b/>
          <w:color w:val="6E6E6E" w:themeColor="accent1" w:themeShade="80"/>
          <w:sz w:val="24"/>
          <w:szCs w:val="24"/>
          <w:lang w:val="en-GB"/>
        </w:rPr>
        <w:t xml:space="preserve">Methodology for defining and calculating the </w:t>
      </w:r>
      <w:r w:rsidR="00381DED" w:rsidRPr="00D974CD">
        <w:rPr>
          <w:rFonts w:ascii="Open Sans" w:hAnsi="Open Sans" w:cs="Open Sans"/>
          <w:b/>
          <w:color w:val="6E6E6E" w:themeColor="accent1" w:themeShade="80"/>
          <w:sz w:val="24"/>
          <w:szCs w:val="24"/>
          <w:lang w:val="en-GB"/>
        </w:rPr>
        <w:t>OUTPUT</w:t>
      </w:r>
      <w:r w:rsidR="008D2A54" w:rsidRPr="00D974CD">
        <w:rPr>
          <w:rFonts w:ascii="Open Sans" w:hAnsi="Open Sans" w:cs="Open Sans"/>
          <w:b/>
          <w:color w:val="6E6E6E" w:themeColor="accent1" w:themeShade="80"/>
          <w:sz w:val="24"/>
          <w:szCs w:val="24"/>
          <w:lang w:val="en-GB"/>
        </w:rPr>
        <w:t xml:space="preserve"> indicators:</w:t>
      </w:r>
    </w:p>
    <w:p w14:paraId="2613D684" w14:textId="77777777" w:rsidR="00E26023" w:rsidRPr="00D974CD" w:rsidRDefault="00E26023" w:rsidP="00D974CD">
      <w:pPr>
        <w:spacing w:before="120" w:after="120"/>
        <w:jc w:val="both"/>
        <w:rPr>
          <w:rFonts w:ascii="Open Sans" w:hAnsi="Open Sans" w:cs="Open Sans"/>
          <w:b/>
          <w:color w:val="6E6E6E" w:themeColor="accent1" w:themeShade="80"/>
          <w:lang w:val="en-GB"/>
        </w:rPr>
      </w:pPr>
      <w:r w:rsidRPr="00D974CD">
        <w:rPr>
          <w:rFonts w:ascii="Open Sans" w:hAnsi="Open Sans" w:cs="Open Sans"/>
          <w:b/>
          <w:color w:val="6E6E6E" w:themeColor="accent1" w:themeShade="80"/>
          <w:lang w:val="en-GB"/>
        </w:rPr>
        <w:t>Summary of key information</w:t>
      </w:r>
    </w:p>
    <w:tbl>
      <w:tblPr>
        <w:tblStyle w:val="LightGrid-Accent1"/>
        <w:tblW w:w="0" w:type="auto"/>
        <w:jc w:val="center"/>
        <w:shd w:val="clear" w:color="auto" w:fill="999999" w:themeFill="text2" w:themeFillTint="66"/>
        <w:tblLayout w:type="fixed"/>
        <w:tblLook w:val="0000" w:firstRow="0" w:lastRow="0" w:firstColumn="0" w:lastColumn="0" w:noHBand="0" w:noVBand="0"/>
      </w:tblPr>
      <w:tblGrid>
        <w:gridCol w:w="4513"/>
        <w:gridCol w:w="5000"/>
      </w:tblGrid>
      <w:tr w:rsidR="00D974CD" w:rsidRPr="00D974CD" w14:paraId="5BA1AB92" w14:textId="77777777" w:rsidTr="0003137E">
        <w:trPr>
          <w:cnfStyle w:val="000000100000" w:firstRow="0" w:lastRow="0" w:firstColumn="0" w:lastColumn="0" w:oddVBand="0" w:evenVBand="0" w:oddHBand="1" w:evenHBand="0" w:firstRowFirstColumn="0" w:firstRowLastColumn="0" w:lastRowFirstColumn="0" w:lastRowLastColumn="0"/>
          <w:trHeight w:val="110"/>
          <w:jc w:val="center"/>
        </w:trPr>
        <w:tc>
          <w:tcPr>
            <w:cnfStyle w:val="000010000000" w:firstRow="0" w:lastRow="0" w:firstColumn="0" w:lastColumn="0" w:oddVBand="1" w:evenVBand="0" w:oddHBand="0" w:evenHBand="0" w:firstRowFirstColumn="0" w:firstRowLastColumn="0" w:lastRowFirstColumn="0" w:lastRowLastColumn="0"/>
            <w:tcW w:w="4513" w:type="dxa"/>
            <w:shd w:val="clear" w:color="auto" w:fill="auto"/>
          </w:tcPr>
          <w:p w14:paraId="62195EE4" w14:textId="77777777" w:rsidR="00E26023" w:rsidRPr="00D974CD" w:rsidRDefault="00E26023" w:rsidP="0079079D">
            <w:pPr>
              <w:autoSpaceDE w:val="0"/>
              <w:autoSpaceDN w:val="0"/>
              <w:adjustRightInd w:val="0"/>
              <w:rPr>
                <w:rFonts w:ascii="Open Sans" w:hAnsi="Open Sans" w:cs="Open Sans"/>
                <w:color w:val="6E6E6E" w:themeColor="accent1" w:themeShade="80"/>
                <w:lang w:val="en-GB"/>
              </w:rPr>
            </w:pPr>
            <w:r w:rsidRPr="00D974CD">
              <w:rPr>
                <w:rFonts w:ascii="Open Sans" w:hAnsi="Open Sans" w:cs="Open Sans"/>
                <w:i/>
                <w:iCs/>
                <w:color w:val="6E6E6E" w:themeColor="accent1" w:themeShade="80"/>
                <w:lang w:val="en-GB"/>
              </w:rPr>
              <w:t xml:space="preserve">ERDF funds allocated </w:t>
            </w:r>
          </w:p>
        </w:tc>
        <w:tc>
          <w:tcPr>
            <w:tcW w:w="5000" w:type="dxa"/>
            <w:shd w:val="clear" w:color="auto" w:fill="auto"/>
          </w:tcPr>
          <w:p w14:paraId="025A41F9" w14:textId="5060EFBB" w:rsidR="00E26023" w:rsidRPr="00D974CD" w:rsidRDefault="00BF2ED8" w:rsidP="00C3633D">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Open Sans" w:hAnsi="Open Sans" w:cs="Open Sans"/>
                <w:color w:val="6E6E6E" w:themeColor="accent1" w:themeShade="80"/>
                <w:lang w:val="en-GB"/>
              </w:rPr>
            </w:pPr>
            <w:r w:rsidRPr="00D974CD">
              <w:rPr>
                <w:rFonts w:ascii="Open Sans" w:hAnsi="Open Sans" w:cs="Open Sans"/>
                <w:color w:val="6E6E6E" w:themeColor="accent1" w:themeShade="80"/>
                <w:lang w:val="en-GB"/>
              </w:rPr>
              <w:t>EUR 10</w:t>
            </w:r>
            <w:r w:rsidR="00C3633D" w:rsidRPr="00D974CD">
              <w:rPr>
                <w:rFonts w:ascii="Open Sans" w:hAnsi="Open Sans" w:cs="Open Sans"/>
                <w:color w:val="6E6E6E" w:themeColor="accent1" w:themeShade="80"/>
                <w:lang w:val="en-GB"/>
              </w:rPr>
              <w:t>,</w:t>
            </w:r>
            <w:r w:rsidRPr="00D974CD">
              <w:rPr>
                <w:rFonts w:ascii="Open Sans" w:hAnsi="Open Sans" w:cs="Open Sans"/>
                <w:color w:val="6E6E6E" w:themeColor="accent1" w:themeShade="80"/>
                <w:lang w:val="en-GB"/>
              </w:rPr>
              <w:t>750</w:t>
            </w:r>
            <w:r w:rsidR="00C3633D" w:rsidRPr="00D974CD">
              <w:rPr>
                <w:rFonts w:ascii="Open Sans" w:hAnsi="Open Sans" w:cs="Open Sans"/>
                <w:color w:val="6E6E6E" w:themeColor="accent1" w:themeShade="80"/>
                <w:lang w:val="en-GB"/>
              </w:rPr>
              <w:t>,</w:t>
            </w:r>
            <w:r w:rsidRPr="00D974CD">
              <w:rPr>
                <w:rFonts w:ascii="Open Sans" w:hAnsi="Open Sans" w:cs="Open Sans"/>
                <w:color w:val="6E6E6E" w:themeColor="accent1" w:themeShade="80"/>
                <w:lang w:val="en-GB"/>
              </w:rPr>
              <w:t>000</w:t>
            </w:r>
          </w:p>
        </w:tc>
      </w:tr>
      <w:tr w:rsidR="00D974CD" w:rsidRPr="00D974CD" w14:paraId="16D40D5C" w14:textId="77777777" w:rsidTr="0003137E">
        <w:trPr>
          <w:cnfStyle w:val="000000010000" w:firstRow="0" w:lastRow="0" w:firstColumn="0" w:lastColumn="0" w:oddVBand="0" w:evenVBand="0" w:oddHBand="0" w:evenHBand="1" w:firstRowFirstColumn="0" w:firstRowLastColumn="0" w:lastRowFirstColumn="0" w:lastRowLastColumn="0"/>
          <w:trHeight w:val="110"/>
          <w:jc w:val="center"/>
        </w:trPr>
        <w:tc>
          <w:tcPr>
            <w:cnfStyle w:val="000010000000" w:firstRow="0" w:lastRow="0" w:firstColumn="0" w:lastColumn="0" w:oddVBand="1" w:evenVBand="0" w:oddHBand="0" w:evenHBand="0" w:firstRowFirstColumn="0" w:firstRowLastColumn="0" w:lastRowFirstColumn="0" w:lastRowLastColumn="0"/>
            <w:tcW w:w="4513" w:type="dxa"/>
            <w:shd w:val="clear" w:color="auto" w:fill="auto"/>
          </w:tcPr>
          <w:p w14:paraId="643FF022" w14:textId="77777777" w:rsidR="00E26023" w:rsidRPr="00D974CD" w:rsidRDefault="00E26023" w:rsidP="0079079D">
            <w:pPr>
              <w:autoSpaceDE w:val="0"/>
              <w:autoSpaceDN w:val="0"/>
              <w:adjustRightInd w:val="0"/>
              <w:rPr>
                <w:rFonts w:ascii="Open Sans" w:hAnsi="Open Sans" w:cs="Open Sans"/>
                <w:color w:val="6E6E6E" w:themeColor="accent1" w:themeShade="80"/>
                <w:lang w:val="en-GB"/>
              </w:rPr>
            </w:pPr>
            <w:r w:rsidRPr="00D974CD">
              <w:rPr>
                <w:rFonts w:ascii="Open Sans" w:hAnsi="Open Sans" w:cs="Open Sans"/>
                <w:i/>
                <w:iCs/>
                <w:color w:val="6E6E6E" w:themeColor="accent1" w:themeShade="80"/>
                <w:lang w:val="en-GB"/>
              </w:rPr>
              <w:t xml:space="preserve">Total available budget </w:t>
            </w:r>
          </w:p>
        </w:tc>
        <w:tc>
          <w:tcPr>
            <w:tcW w:w="5000" w:type="dxa"/>
            <w:shd w:val="clear" w:color="auto" w:fill="auto"/>
          </w:tcPr>
          <w:p w14:paraId="03EC2F02" w14:textId="69E7E7D8" w:rsidR="00E26023" w:rsidRPr="00D974CD" w:rsidRDefault="00BF2ED8" w:rsidP="00C3633D">
            <w:pPr>
              <w:autoSpaceDE w:val="0"/>
              <w:autoSpaceDN w:val="0"/>
              <w:adjustRightInd w:val="0"/>
              <w:cnfStyle w:val="000000010000" w:firstRow="0" w:lastRow="0" w:firstColumn="0" w:lastColumn="0" w:oddVBand="0" w:evenVBand="0" w:oddHBand="0" w:evenHBand="1" w:firstRowFirstColumn="0" w:firstRowLastColumn="0" w:lastRowFirstColumn="0" w:lastRowLastColumn="0"/>
              <w:rPr>
                <w:rFonts w:ascii="Open Sans" w:hAnsi="Open Sans" w:cs="Open Sans"/>
                <w:color w:val="6E6E6E" w:themeColor="accent1" w:themeShade="80"/>
                <w:lang w:val="en-GB"/>
              </w:rPr>
            </w:pPr>
            <w:r w:rsidRPr="00D974CD">
              <w:rPr>
                <w:rFonts w:ascii="Open Sans" w:hAnsi="Open Sans" w:cs="Open Sans"/>
                <w:color w:val="6E6E6E" w:themeColor="accent1" w:themeShade="80"/>
                <w:lang w:val="en-GB"/>
              </w:rPr>
              <w:t>EUR 12</w:t>
            </w:r>
            <w:r w:rsidR="00C3633D" w:rsidRPr="00D974CD">
              <w:rPr>
                <w:rFonts w:ascii="Open Sans" w:hAnsi="Open Sans" w:cs="Open Sans"/>
                <w:color w:val="6E6E6E" w:themeColor="accent1" w:themeShade="80"/>
                <w:lang w:val="en-GB"/>
              </w:rPr>
              <w:t>,</w:t>
            </w:r>
            <w:r w:rsidRPr="00D974CD">
              <w:rPr>
                <w:rFonts w:ascii="Open Sans" w:hAnsi="Open Sans" w:cs="Open Sans"/>
                <w:color w:val="6E6E6E" w:themeColor="accent1" w:themeShade="80"/>
                <w:lang w:val="en-GB"/>
              </w:rPr>
              <w:t>647</w:t>
            </w:r>
            <w:r w:rsidR="00C3633D" w:rsidRPr="00D974CD">
              <w:rPr>
                <w:rFonts w:ascii="Open Sans" w:hAnsi="Open Sans" w:cs="Open Sans"/>
                <w:color w:val="6E6E6E" w:themeColor="accent1" w:themeShade="80"/>
                <w:lang w:val="en-GB"/>
              </w:rPr>
              <w:t>,</w:t>
            </w:r>
            <w:r w:rsidRPr="00D974CD">
              <w:rPr>
                <w:rFonts w:ascii="Open Sans" w:hAnsi="Open Sans" w:cs="Open Sans"/>
                <w:color w:val="6E6E6E" w:themeColor="accent1" w:themeShade="80"/>
                <w:lang w:val="en-GB"/>
              </w:rPr>
              <w:t>059</w:t>
            </w:r>
          </w:p>
        </w:tc>
      </w:tr>
      <w:tr w:rsidR="00D974CD" w:rsidRPr="00D974CD" w14:paraId="39EDCBCD" w14:textId="77777777" w:rsidTr="0003137E">
        <w:trPr>
          <w:cnfStyle w:val="000000100000" w:firstRow="0" w:lastRow="0" w:firstColumn="0" w:lastColumn="0" w:oddVBand="0" w:evenVBand="0" w:oddHBand="1" w:evenHBand="0" w:firstRowFirstColumn="0" w:firstRowLastColumn="0" w:lastRowFirstColumn="0" w:lastRowLastColumn="0"/>
          <w:trHeight w:val="110"/>
          <w:jc w:val="center"/>
        </w:trPr>
        <w:tc>
          <w:tcPr>
            <w:cnfStyle w:val="000010000000" w:firstRow="0" w:lastRow="0" w:firstColumn="0" w:lastColumn="0" w:oddVBand="1" w:evenVBand="0" w:oddHBand="0" w:evenHBand="0" w:firstRowFirstColumn="0" w:firstRowLastColumn="0" w:lastRowFirstColumn="0" w:lastRowLastColumn="0"/>
            <w:tcW w:w="4513" w:type="dxa"/>
            <w:shd w:val="clear" w:color="auto" w:fill="auto"/>
          </w:tcPr>
          <w:p w14:paraId="60114DA6" w14:textId="77777777" w:rsidR="00E26023" w:rsidRPr="00D974CD" w:rsidRDefault="00E26023" w:rsidP="0079079D">
            <w:pPr>
              <w:autoSpaceDE w:val="0"/>
              <w:autoSpaceDN w:val="0"/>
              <w:adjustRightInd w:val="0"/>
              <w:rPr>
                <w:rFonts w:ascii="Open Sans" w:hAnsi="Open Sans" w:cs="Open Sans"/>
                <w:color w:val="6E6E6E" w:themeColor="accent1" w:themeShade="80"/>
                <w:lang w:val="en-GB"/>
              </w:rPr>
            </w:pPr>
            <w:r w:rsidRPr="00D974CD">
              <w:rPr>
                <w:rFonts w:ascii="Open Sans" w:hAnsi="Open Sans" w:cs="Open Sans"/>
                <w:bCs/>
                <w:color w:val="6E6E6E" w:themeColor="accent1" w:themeShade="80"/>
                <w:lang w:val="en-GB"/>
              </w:rPr>
              <w:t xml:space="preserve">Indicators </w:t>
            </w:r>
          </w:p>
        </w:tc>
        <w:tc>
          <w:tcPr>
            <w:tcW w:w="5000" w:type="dxa"/>
            <w:shd w:val="clear" w:color="auto" w:fill="auto"/>
          </w:tcPr>
          <w:p w14:paraId="12DCC13C" w14:textId="77777777" w:rsidR="00E26023" w:rsidRPr="00D974CD" w:rsidRDefault="00E26023" w:rsidP="0079079D">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Open Sans" w:hAnsi="Open Sans" w:cs="Open Sans"/>
                <w:color w:val="6E6E6E" w:themeColor="accent1" w:themeShade="80"/>
                <w:lang w:val="en-GB"/>
              </w:rPr>
            </w:pPr>
            <w:r w:rsidRPr="00D974CD">
              <w:rPr>
                <w:rFonts w:ascii="Open Sans" w:hAnsi="Open Sans" w:cs="Open Sans"/>
                <w:bCs/>
                <w:color w:val="6E6E6E" w:themeColor="accent1" w:themeShade="80"/>
                <w:lang w:val="en-GB"/>
              </w:rPr>
              <w:t xml:space="preserve">Assumed proportion of allocation </w:t>
            </w:r>
          </w:p>
        </w:tc>
      </w:tr>
      <w:tr w:rsidR="00D974CD" w:rsidRPr="00D974CD" w14:paraId="1FD49C47" w14:textId="77777777" w:rsidTr="0003137E">
        <w:trPr>
          <w:cnfStyle w:val="000000010000" w:firstRow="0" w:lastRow="0" w:firstColumn="0" w:lastColumn="0" w:oddVBand="0" w:evenVBand="0" w:oddHBand="0" w:evenHBand="1" w:firstRowFirstColumn="0" w:firstRowLastColumn="0" w:lastRowFirstColumn="0" w:lastRowLastColumn="0"/>
          <w:trHeight w:val="211"/>
          <w:jc w:val="center"/>
        </w:trPr>
        <w:tc>
          <w:tcPr>
            <w:cnfStyle w:val="000010000000" w:firstRow="0" w:lastRow="0" w:firstColumn="0" w:lastColumn="0" w:oddVBand="1" w:evenVBand="0" w:oddHBand="0" w:evenHBand="0" w:firstRowFirstColumn="0" w:firstRowLastColumn="0" w:lastRowFirstColumn="0" w:lastRowLastColumn="0"/>
            <w:tcW w:w="4513" w:type="dxa"/>
            <w:shd w:val="clear" w:color="auto" w:fill="auto"/>
          </w:tcPr>
          <w:p w14:paraId="72B0495E" w14:textId="77785012" w:rsidR="00E26023" w:rsidRPr="00D974CD" w:rsidRDefault="00BF2ED8" w:rsidP="0079079D">
            <w:pPr>
              <w:autoSpaceDE w:val="0"/>
              <w:autoSpaceDN w:val="0"/>
              <w:adjustRightInd w:val="0"/>
              <w:rPr>
                <w:rFonts w:ascii="Open Sans" w:hAnsi="Open Sans" w:cs="Open Sans"/>
                <w:color w:val="6E6E6E" w:themeColor="accent1" w:themeShade="80"/>
                <w:lang w:val="en-GB"/>
              </w:rPr>
            </w:pPr>
            <w:r w:rsidRPr="00D974CD">
              <w:rPr>
                <w:rFonts w:ascii="Open Sans" w:hAnsi="Open Sans" w:cs="Open Sans"/>
                <w:color w:val="6E6E6E" w:themeColor="accent1" w:themeShade="80"/>
                <w:lang w:val="en-GB"/>
              </w:rPr>
              <w:t>6/b</w:t>
            </w:r>
            <w:r w:rsidR="00E26023" w:rsidRPr="00D974CD">
              <w:rPr>
                <w:rFonts w:ascii="Open Sans" w:hAnsi="Open Sans" w:cs="Open Sans"/>
                <w:color w:val="6E6E6E" w:themeColor="accent1" w:themeShade="80"/>
                <w:lang w:val="en-GB"/>
              </w:rPr>
              <w:t xml:space="preserve"> 1 </w:t>
            </w:r>
          </w:p>
        </w:tc>
        <w:tc>
          <w:tcPr>
            <w:tcW w:w="5000" w:type="dxa"/>
            <w:shd w:val="clear" w:color="auto" w:fill="auto"/>
          </w:tcPr>
          <w:p w14:paraId="6FFB8971" w14:textId="37EAA992" w:rsidR="00E26023" w:rsidRPr="00D974CD" w:rsidRDefault="00BF2ED8" w:rsidP="0079079D">
            <w:pPr>
              <w:autoSpaceDE w:val="0"/>
              <w:autoSpaceDN w:val="0"/>
              <w:adjustRightInd w:val="0"/>
              <w:cnfStyle w:val="000000010000" w:firstRow="0" w:lastRow="0" w:firstColumn="0" w:lastColumn="0" w:oddVBand="0" w:evenVBand="0" w:oddHBand="0" w:evenHBand="1" w:firstRowFirstColumn="0" w:firstRowLastColumn="0" w:lastRowFirstColumn="0" w:lastRowLastColumn="0"/>
              <w:rPr>
                <w:rFonts w:ascii="Open Sans" w:hAnsi="Open Sans" w:cs="Open Sans"/>
                <w:color w:val="6E6E6E" w:themeColor="accent1" w:themeShade="80"/>
                <w:lang w:val="en-GB"/>
              </w:rPr>
            </w:pPr>
            <w:r w:rsidRPr="00D974CD">
              <w:rPr>
                <w:rFonts w:ascii="Open Sans" w:hAnsi="Open Sans" w:cs="Open Sans"/>
                <w:color w:val="6E6E6E" w:themeColor="accent1" w:themeShade="80"/>
                <w:lang w:val="en-GB"/>
              </w:rPr>
              <w:t xml:space="preserve">75% </w:t>
            </w:r>
            <w:r w:rsidR="000300F6" w:rsidRPr="00D974CD">
              <w:rPr>
                <w:rFonts w:ascii="Open Sans" w:hAnsi="Open Sans" w:cs="Open Sans"/>
                <w:color w:val="6E6E6E" w:themeColor="accent1" w:themeShade="80"/>
                <w:lang w:val="en-GB"/>
              </w:rPr>
              <w:t>of total allocation</w:t>
            </w:r>
          </w:p>
        </w:tc>
      </w:tr>
      <w:tr w:rsidR="00D974CD" w:rsidRPr="00D974CD" w14:paraId="102578CB" w14:textId="77777777" w:rsidTr="0003137E">
        <w:trPr>
          <w:cnfStyle w:val="000000100000" w:firstRow="0" w:lastRow="0" w:firstColumn="0" w:lastColumn="0" w:oddVBand="0" w:evenVBand="0" w:oddHBand="1" w:evenHBand="0" w:firstRowFirstColumn="0" w:firstRowLastColumn="0" w:lastRowFirstColumn="0" w:lastRowLastColumn="0"/>
          <w:trHeight w:val="110"/>
          <w:jc w:val="center"/>
        </w:trPr>
        <w:tc>
          <w:tcPr>
            <w:cnfStyle w:val="000010000000" w:firstRow="0" w:lastRow="0" w:firstColumn="0" w:lastColumn="0" w:oddVBand="1" w:evenVBand="0" w:oddHBand="0" w:evenHBand="0" w:firstRowFirstColumn="0" w:firstRowLastColumn="0" w:lastRowFirstColumn="0" w:lastRowLastColumn="0"/>
            <w:tcW w:w="4513" w:type="dxa"/>
            <w:tcBorders>
              <w:top w:val="single" w:sz="4" w:space="0" w:color="auto"/>
              <w:left w:val="nil"/>
              <w:bottom w:val="nil"/>
              <w:right w:val="nil"/>
            </w:tcBorders>
            <w:shd w:val="clear" w:color="auto" w:fill="auto"/>
          </w:tcPr>
          <w:p w14:paraId="46A1459A" w14:textId="77777777" w:rsidR="0003137E" w:rsidRPr="00D974CD" w:rsidRDefault="0003137E" w:rsidP="0079079D">
            <w:pPr>
              <w:autoSpaceDE w:val="0"/>
              <w:autoSpaceDN w:val="0"/>
              <w:adjustRightInd w:val="0"/>
              <w:rPr>
                <w:rFonts w:ascii="Open Sans" w:hAnsi="Open Sans" w:cs="Open Sans"/>
                <w:color w:val="6E6E6E" w:themeColor="accent1" w:themeShade="80"/>
                <w:lang w:val="en-GB"/>
              </w:rPr>
            </w:pPr>
          </w:p>
          <w:p w14:paraId="353E7692" w14:textId="478C9A9C" w:rsidR="00E100EC" w:rsidRPr="00D974CD" w:rsidRDefault="00E74021" w:rsidP="00D974CD">
            <w:pPr>
              <w:autoSpaceDE w:val="0"/>
              <w:autoSpaceDN w:val="0"/>
              <w:adjustRightInd w:val="0"/>
              <w:spacing w:after="120"/>
              <w:rPr>
                <w:rFonts w:ascii="Open Sans" w:hAnsi="Open Sans" w:cs="Open Sans"/>
                <w:color w:val="6E6E6E" w:themeColor="accent1" w:themeShade="80"/>
                <w:lang w:val="en-GB"/>
              </w:rPr>
            </w:pPr>
            <w:r w:rsidRPr="00D974CD">
              <w:rPr>
                <w:rFonts w:ascii="Open Sans" w:hAnsi="Open Sans" w:cs="Open Sans"/>
                <w:color w:val="6E6E6E" w:themeColor="accent1" w:themeShade="80"/>
                <w:lang w:val="en-GB"/>
              </w:rPr>
              <w:t>Categories of intervention:</w:t>
            </w:r>
          </w:p>
        </w:tc>
        <w:tc>
          <w:tcPr>
            <w:tcW w:w="5000" w:type="dxa"/>
            <w:tcBorders>
              <w:top w:val="single" w:sz="4" w:space="0" w:color="auto"/>
              <w:left w:val="nil"/>
              <w:bottom w:val="nil"/>
              <w:right w:val="nil"/>
            </w:tcBorders>
            <w:shd w:val="clear" w:color="auto" w:fill="auto"/>
          </w:tcPr>
          <w:p w14:paraId="38578210" w14:textId="77777777" w:rsidR="00E100EC" w:rsidRPr="00D974CD" w:rsidRDefault="00E100EC" w:rsidP="0079079D">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Open Sans" w:hAnsi="Open Sans" w:cs="Open Sans"/>
                <w:color w:val="6E6E6E" w:themeColor="accent1" w:themeShade="80"/>
                <w:lang w:val="en-GB"/>
              </w:rPr>
            </w:pPr>
          </w:p>
        </w:tc>
      </w:tr>
    </w:tbl>
    <w:tbl>
      <w:tblPr>
        <w:tblStyle w:val="LightList-Accent1"/>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3"/>
        <w:gridCol w:w="2117"/>
      </w:tblGrid>
      <w:tr w:rsidR="00D974CD" w:rsidRPr="00D974CD" w14:paraId="46326528" w14:textId="77777777" w:rsidTr="00D974CD">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513" w:type="dxa"/>
            <w:shd w:val="clear" w:color="auto" w:fill="707070" w:themeFill="accent3" w:themeFillShade="BF"/>
          </w:tcPr>
          <w:p w14:paraId="537EDB51" w14:textId="77777777" w:rsidR="00E26023" w:rsidRPr="00D974CD" w:rsidRDefault="00E26023" w:rsidP="007C49D0">
            <w:pPr>
              <w:spacing w:after="120"/>
              <w:jc w:val="both"/>
              <w:rPr>
                <w:rFonts w:ascii="Open Sans" w:hAnsi="Open Sans" w:cs="Open Sans"/>
                <w:color w:val="6E6E6E" w:themeColor="accent1" w:themeShade="80"/>
                <w:lang w:val="en-GB"/>
              </w:rPr>
            </w:pPr>
            <w:r w:rsidRPr="00D974CD">
              <w:rPr>
                <w:rFonts w:ascii="Open Sans" w:hAnsi="Open Sans" w:cs="Open Sans"/>
                <w:color w:val="6E6E6E" w:themeColor="accent1" w:themeShade="80"/>
                <w:lang w:val="en-GB"/>
              </w:rPr>
              <w:t>Code</w:t>
            </w:r>
            <w:r w:rsidRPr="00D974CD">
              <w:rPr>
                <w:rFonts w:ascii="Open Sans" w:hAnsi="Open Sans" w:cs="Open Sans"/>
                <w:color w:val="6E6E6E" w:themeColor="accent1" w:themeShade="80"/>
                <w:lang w:val="en-GB"/>
              </w:rPr>
              <w:tab/>
            </w:r>
          </w:p>
        </w:tc>
        <w:tc>
          <w:tcPr>
            <w:tcW w:w="2117" w:type="dxa"/>
            <w:shd w:val="clear" w:color="auto" w:fill="707070" w:themeFill="accent3" w:themeFillShade="BF"/>
          </w:tcPr>
          <w:p w14:paraId="44B09AE0" w14:textId="77777777" w:rsidR="00E26023" w:rsidRPr="00D974CD" w:rsidRDefault="00E26023" w:rsidP="0079079D">
            <w:pPr>
              <w:jc w:val="both"/>
              <w:cnfStyle w:val="100000000000" w:firstRow="1" w:lastRow="0" w:firstColumn="0" w:lastColumn="0" w:oddVBand="0" w:evenVBand="0" w:oddHBand="0" w:evenHBand="0" w:firstRowFirstColumn="0" w:firstRowLastColumn="0" w:lastRowFirstColumn="0" w:lastRowLastColumn="0"/>
              <w:rPr>
                <w:rFonts w:ascii="Open Sans" w:hAnsi="Open Sans" w:cs="Open Sans"/>
                <w:color w:val="6E6E6E" w:themeColor="accent1" w:themeShade="80"/>
                <w:lang w:val="en-GB"/>
              </w:rPr>
            </w:pPr>
            <w:r w:rsidRPr="00D974CD">
              <w:rPr>
                <w:rFonts w:ascii="Open Sans" w:hAnsi="Open Sans" w:cs="Open Sans"/>
                <w:color w:val="6E6E6E" w:themeColor="accent1" w:themeShade="80"/>
                <w:lang w:val="en-GB"/>
              </w:rPr>
              <w:t>Amount (€)</w:t>
            </w:r>
          </w:p>
        </w:tc>
      </w:tr>
      <w:tr w:rsidR="00D974CD" w:rsidRPr="00D974CD" w14:paraId="53EA3B2B" w14:textId="77777777" w:rsidTr="000A5F9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513" w:type="dxa"/>
            <w:tcBorders>
              <w:top w:val="none" w:sz="0" w:space="0" w:color="auto"/>
              <w:left w:val="none" w:sz="0" w:space="0" w:color="auto"/>
              <w:bottom w:val="none" w:sz="0" w:space="0" w:color="auto"/>
            </w:tcBorders>
            <w:vAlign w:val="center"/>
          </w:tcPr>
          <w:p w14:paraId="165F8AF2" w14:textId="196CB9EF" w:rsidR="00E26023" w:rsidRPr="00D974CD" w:rsidRDefault="00BF2ED8" w:rsidP="007C49D0">
            <w:pPr>
              <w:spacing w:after="120"/>
              <w:jc w:val="both"/>
              <w:rPr>
                <w:rFonts w:ascii="Open Sans" w:hAnsi="Open Sans" w:cs="Open Sans"/>
                <w:color w:val="6E6E6E" w:themeColor="accent1" w:themeShade="80"/>
                <w:lang w:val="en-GB"/>
              </w:rPr>
            </w:pPr>
            <w:r w:rsidRPr="00D974CD">
              <w:rPr>
                <w:rFonts w:ascii="Open Sans" w:hAnsi="Open Sans" w:cs="Open Sans"/>
                <w:color w:val="6E6E6E" w:themeColor="accent1" w:themeShade="80"/>
                <w:lang w:val="en-GB"/>
              </w:rPr>
              <w:t>021. Water management and drinking water conservation (including river basin management, water supply, specific climate change adaptation measures, district and consumer metering, charging systems and leak reduction)</w:t>
            </w:r>
          </w:p>
        </w:tc>
        <w:tc>
          <w:tcPr>
            <w:tcW w:w="2117" w:type="dxa"/>
            <w:tcBorders>
              <w:top w:val="none" w:sz="0" w:space="0" w:color="auto"/>
              <w:bottom w:val="none" w:sz="0" w:space="0" w:color="auto"/>
              <w:right w:val="none" w:sz="0" w:space="0" w:color="auto"/>
            </w:tcBorders>
            <w:vAlign w:val="center"/>
          </w:tcPr>
          <w:p w14:paraId="6A623077" w14:textId="5F11D664" w:rsidR="00E26023" w:rsidRPr="00D974CD" w:rsidRDefault="00BF2ED8" w:rsidP="0079079D">
            <w:pPr>
              <w:jc w:val="both"/>
              <w:cnfStyle w:val="000000100000" w:firstRow="0" w:lastRow="0" w:firstColumn="0" w:lastColumn="0" w:oddVBand="0" w:evenVBand="0" w:oddHBand="1" w:evenHBand="0" w:firstRowFirstColumn="0" w:firstRowLastColumn="0" w:lastRowFirstColumn="0" w:lastRowLastColumn="0"/>
              <w:rPr>
                <w:rFonts w:ascii="Open Sans" w:hAnsi="Open Sans" w:cs="Open Sans"/>
                <w:color w:val="6E6E6E" w:themeColor="accent1" w:themeShade="80"/>
                <w:lang w:val="en-GB"/>
              </w:rPr>
            </w:pPr>
            <w:r w:rsidRPr="00D974CD">
              <w:rPr>
                <w:rFonts w:ascii="Open Sans" w:hAnsi="Open Sans" w:cs="Open Sans"/>
                <w:color w:val="6E6E6E" w:themeColor="accent1" w:themeShade="80"/>
                <w:lang w:val="en-GB"/>
              </w:rPr>
              <w:t>10,750,000.00</w:t>
            </w:r>
          </w:p>
        </w:tc>
      </w:tr>
    </w:tbl>
    <w:p w14:paraId="50AB30A7" w14:textId="7FF4AFDE" w:rsidR="00BF2ED8" w:rsidRDefault="007F43EC" w:rsidP="007C49D0">
      <w:pPr>
        <w:spacing w:before="120" w:after="120"/>
        <w:jc w:val="both"/>
        <w:rPr>
          <w:rFonts w:ascii="Open Sans" w:hAnsi="Open Sans" w:cs="Open Sans"/>
          <w:color w:val="6E6E6E" w:themeColor="accent1" w:themeShade="80"/>
          <w:lang w:val="en-GB"/>
        </w:rPr>
      </w:pPr>
      <w:r w:rsidRPr="00D974CD">
        <w:rPr>
          <w:rFonts w:ascii="Open Sans" w:hAnsi="Open Sans" w:cs="Open Sans"/>
          <w:color w:val="6E6E6E" w:themeColor="accent1" w:themeShade="80"/>
          <w:lang w:val="en-GB"/>
        </w:rPr>
        <w:t xml:space="preserve">For measuring the outputs under this </w:t>
      </w:r>
      <w:proofErr w:type="spellStart"/>
      <w:r w:rsidRPr="00D974CD">
        <w:rPr>
          <w:rFonts w:ascii="Open Sans" w:hAnsi="Open Sans" w:cs="Open Sans"/>
          <w:color w:val="6E6E6E" w:themeColor="accent1" w:themeShade="80"/>
          <w:lang w:val="en-GB"/>
        </w:rPr>
        <w:t>Ip</w:t>
      </w:r>
      <w:proofErr w:type="spellEnd"/>
      <w:r w:rsidRPr="00D974CD">
        <w:rPr>
          <w:rFonts w:ascii="Open Sans" w:hAnsi="Open Sans" w:cs="Open Sans"/>
          <w:color w:val="6E6E6E" w:themeColor="accent1" w:themeShade="80"/>
          <w:lang w:val="en-GB"/>
        </w:rPr>
        <w:t xml:space="preserve">, </w:t>
      </w:r>
      <w:r w:rsidR="00BF2ED8" w:rsidRPr="00D974CD">
        <w:rPr>
          <w:rFonts w:ascii="Open Sans" w:hAnsi="Open Sans" w:cs="Open Sans"/>
          <w:color w:val="6E6E6E" w:themeColor="accent1" w:themeShade="80"/>
          <w:lang w:val="en-GB"/>
        </w:rPr>
        <w:t>1 output indicator</w:t>
      </w:r>
      <w:r w:rsidRPr="00D974CD">
        <w:rPr>
          <w:rFonts w:ascii="Open Sans" w:hAnsi="Open Sans" w:cs="Open Sans"/>
          <w:color w:val="6E6E6E" w:themeColor="accent1" w:themeShade="80"/>
          <w:lang w:val="en-GB"/>
        </w:rPr>
        <w:t xml:space="preserve"> have been </w:t>
      </w:r>
      <w:r w:rsidR="00742BAD" w:rsidRPr="00D974CD">
        <w:rPr>
          <w:rFonts w:ascii="Open Sans" w:hAnsi="Open Sans" w:cs="Open Sans"/>
          <w:color w:val="6E6E6E" w:themeColor="accent1" w:themeShade="80"/>
          <w:lang w:val="en-GB"/>
        </w:rPr>
        <w:t>i</w:t>
      </w:r>
      <w:r w:rsidR="00BF2ED8" w:rsidRPr="00D974CD">
        <w:rPr>
          <w:rFonts w:ascii="Open Sans" w:hAnsi="Open Sans" w:cs="Open Sans"/>
          <w:color w:val="6E6E6E" w:themeColor="accent1" w:themeShade="80"/>
          <w:lang w:val="en-GB"/>
        </w:rPr>
        <w:t xml:space="preserve">dentified, number of </w:t>
      </w:r>
      <w:r w:rsidR="003F0BBC" w:rsidRPr="00D974CD">
        <w:rPr>
          <w:rFonts w:ascii="Open Sans" w:hAnsi="Open Sans" w:cs="Open Sans"/>
          <w:color w:val="6E6E6E" w:themeColor="accent1" w:themeShade="80"/>
          <w:lang w:val="en-GB"/>
        </w:rPr>
        <w:t>measurement points positively affected by the interventions, after the completion of the project, which is a programme specific output indicator.</w:t>
      </w:r>
    </w:p>
    <w:tbl>
      <w:tblPr>
        <w:tblStyle w:val="LightList-Accent1"/>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7"/>
        <w:gridCol w:w="2126"/>
        <w:gridCol w:w="1625"/>
      </w:tblGrid>
      <w:tr w:rsidR="00D974CD" w:rsidRPr="00D974CD" w14:paraId="0F0ADF8C" w14:textId="77777777" w:rsidTr="00D974CD">
        <w:trPr>
          <w:cnfStyle w:val="100000000000" w:firstRow="1" w:lastRow="0" w:firstColumn="0" w:lastColumn="0" w:oddVBand="0" w:evenVBand="0" w:oddHBand="0" w:evenHBand="0" w:firstRowFirstColumn="0" w:firstRowLastColumn="0" w:lastRowFirstColumn="0" w:lastRowLastColumn="0"/>
          <w:trHeight w:val="520"/>
          <w:jc w:val="center"/>
        </w:trPr>
        <w:tc>
          <w:tcPr>
            <w:cnfStyle w:val="001000000000" w:firstRow="0" w:lastRow="0" w:firstColumn="1" w:lastColumn="0" w:oddVBand="0" w:evenVBand="0" w:oddHBand="0" w:evenHBand="0" w:firstRowFirstColumn="0" w:firstRowLastColumn="0" w:lastRowFirstColumn="0" w:lastRowLastColumn="0"/>
            <w:tcW w:w="5807" w:type="dxa"/>
            <w:shd w:val="clear" w:color="auto" w:fill="707070" w:themeFill="accent3" w:themeFillShade="BF"/>
          </w:tcPr>
          <w:p w14:paraId="0EC3B5C2" w14:textId="77777777" w:rsidR="00E067B1" w:rsidRPr="00D974CD" w:rsidRDefault="00E067B1" w:rsidP="00C46205">
            <w:pPr>
              <w:jc w:val="both"/>
              <w:rPr>
                <w:rFonts w:ascii="Open Sans" w:hAnsi="Open Sans" w:cs="Open Sans"/>
                <w:color w:val="6E6E6E" w:themeColor="accent1" w:themeShade="80"/>
                <w:lang w:val="en-GB"/>
              </w:rPr>
            </w:pPr>
            <w:r w:rsidRPr="00D974CD">
              <w:rPr>
                <w:rFonts w:ascii="Open Sans" w:hAnsi="Open Sans" w:cs="Open Sans"/>
                <w:color w:val="6E6E6E" w:themeColor="accent1" w:themeShade="80"/>
                <w:lang w:val="en-GB"/>
              </w:rPr>
              <w:t>ID Indicator</w:t>
            </w:r>
          </w:p>
        </w:tc>
        <w:tc>
          <w:tcPr>
            <w:tcW w:w="2126" w:type="dxa"/>
            <w:shd w:val="clear" w:color="auto" w:fill="707070" w:themeFill="accent3" w:themeFillShade="BF"/>
          </w:tcPr>
          <w:p w14:paraId="05207B91" w14:textId="77777777" w:rsidR="00E067B1" w:rsidRPr="00D974CD" w:rsidRDefault="00E067B1" w:rsidP="00C46205">
            <w:pPr>
              <w:jc w:val="both"/>
              <w:cnfStyle w:val="100000000000" w:firstRow="1" w:lastRow="0" w:firstColumn="0" w:lastColumn="0" w:oddVBand="0" w:evenVBand="0" w:oddHBand="0" w:evenHBand="0" w:firstRowFirstColumn="0" w:firstRowLastColumn="0" w:lastRowFirstColumn="0" w:lastRowLastColumn="0"/>
              <w:rPr>
                <w:rFonts w:ascii="Open Sans" w:hAnsi="Open Sans" w:cs="Open Sans"/>
                <w:color w:val="6E6E6E" w:themeColor="accent1" w:themeShade="80"/>
                <w:lang w:val="en-GB"/>
              </w:rPr>
            </w:pPr>
            <w:r w:rsidRPr="00D974CD">
              <w:rPr>
                <w:rFonts w:ascii="Open Sans" w:hAnsi="Open Sans" w:cs="Open Sans"/>
                <w:color w:val="6E6E6E" w:themeColor="accent1" w:themeShade="80"/>
                <w:lang w:val="en-GB"/>
              </w:rPr>
              <w:t>Measurement unit</w:t>
            </w:r>
          </w:p>
        </w:tc>
        <w:tc>
          <w:tcPr>
            <w:tcW w:w="1625" w:type="dxa"/>
            <w:shd w:val="clear" w:color="auto" w:fill="707070" w:themeFill="accent3" w:themeFillShade="BF"/>
          </w:tcPr>
          <w:p w14:paraId="5A3DC712" w14:textId="188A7DFE" w:rsidR="00E067B1" w:rsidRPr="00D974CD" w:rsidRDefault="007F43EC" w:rsidP="00C46205">
            <w:pPr>
              <w:jc w:val="both"/>
              <w:cnfStyle w:val="100000000000" w:firstRow="1" w:lastRow="0" w:firstColumn="0" w:lastColumn="0" w:oddVBand="0" w:evenVBand="0" w:oddHBand="0" w:evenHBand="0" w:firstRowFirstColumn="0" w:firstRowLastColumn="0" w:lastRowFirstColumn="0" w:lastRowLastColumn="0"/>
              <w:rPr>
                <w:rFonts w:ascii="Open Sans" w:hAnsi="Open Sans" w:cs="Open Sans"/>
                <w:color w:val="6E6E6E" w:themeColor="accent1" w:themeShade="80"/>
                <w:lang w:val="en-GB"/>
              </w:rPr>
            </w:pPr>
            <w:r w:rsidRPr="00D974CD">
              <w:rPr>
                <w:rFonts w:ascii="Open Sans" w:hAnsi="Open Sans" w:cs="Open Sans"/>
                <w:color w:val="6E6E6E" w:themeColor="accent1" w:themeShade="80"/>
                <w:lang w:val="en-GB"/>
              </w:rPr>
              <w:t>Target value (2023)</w:t>
            </w:r>
          </w:p>
        </w:tc>
      </w:tr>
      <w:tr w:rsidR="00D974CD" w:rsidRPr="00D974CD" w14:paraId="1909129C" w14:textId="77777777" w:rsidTr="000A5F9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807" w:type="dxa"/>
            <w:tcBorders>
              <w:top w:val="none" w:sz="0" w:space="0" w:color="auto"/>
              <w:left w:val="none" w:sz="0" w:space="0" w:color="auto"/>
              <w:bottom w:val="none" w:sz="0" w:space="0" w:color="auto"/>
            </w:tcBorders>
          </w:tcPr>
          <w:p w14:paraId="2F2EC7D1" w14:textId="631A1EDB" w:rsidR="00E067B1" w:rsidRPr="00D974CD" w:rsidRDefault="0099731D" w:rsidP="00003336">
            <w:pPr>
              <w:jc w:val="both"/>
              <w:rPr>
                <w:rFonts w:ascii="Open Sans" w:hAnsi="Open Sans" w:cs="Open Sans"/>
                <w:color w:val="6E6E6E" w:themeColor="accent1" w:themeShade="80"/>
                <w:lang w:val="en-GB"/>
              </w:rPr>
            </w:pPr>
            <w:r w:rsidRPr="00D974CD">
              <w:rPr>
                <w:rFonts w:ascii="Open Sans" w:hAnsi="Open Sans" w:cs="Open Sans"/>
                <w:color w:val="6E6E6E" w:themeColor="accent1" w:themeShade="80"/>
                <w:lang w:val="en-GB"/>
              </w:rPr>
              <w:lastRenderedPageBreak/>
              <w:t>6/</w:t>
            </w:r>
            <w:r w:rsidR="005A3131" w:rsidRPr="00D974CD">
              <w:rPr>
                <w:rFonts w:ascii="Open Sans" w:hAnsi="Open Sans" w:cs="Open Sans"/>
                <w:color w:val="6E6E6E" w:themeColor="accent1" w:themeShade="80"/>
                <w:lang w:val="en-GB"/>
              </w:rPr>
              <w:t>b</w:t>
            </w:r>
            <w:r w:rsidR="001C4125" w:rsidRPr="00D974CD">
              <w:rPr>
                <w:rFonts w:ascii="Open Sans" w:hAnsi="Open Sans" w:cs="Open Sans"/>
                <w:color w:val="6E6E6E" w:themeColor="accent1" w:themeShade="80"/>
                <w:lang w:val="en-GB"/>
              </w:rPr>
              <w:t xml:space="preserve"> 1 </w:t>
            </w:r>
            <w:r w:rsidR="00BF2ED8" w:rsidRPr="00D974CD">
              <w:rPr>
                <w:rFonts w:ascii="Open Sans" w:hAnsi="Open Sans" w:cs="Open Sans"/>
                <w:iCs/>
                <w:color w:val="6E6E6E" w:themeColor="accent1" w:themeShade="80"/>
                <w:lang w:val="en-GB"/>
              </w:rPr>
              <w:t xml:space="preserve">Number of measurement points positively affected by the interventions (after the completion of the project) </w:t>
            </w:r>
          </w:p>
        </w:tc>
        <w:tc>
          <w:tcPr>
            <w:tcW w:w="2126" w:type="dxa"/>
            <w:tcBorders>
              <w:top w:val="none" w:sz="0" w:space="0" w:color="auto"/>
              <w:bottom w:val="none" w:sz="0" w:space="0" w:color="auto"/>
            </w:tcBorders>
          </w:tcPr>
          <w:p w14:paraId="407820ED" w14:textId="77777777" w:rsidR="000300F6" w:rsidRPr="00D974CD" w:rsidRDefault="000300F6" w:rsidP="000300F6">
            <w:pPr>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b/>
                <w:color w:val="6E6E6E" w:themeColor="accent1" w:themeShade="80"/>
                <w:lang w:val="en-GB"/>
              </w:rPr>
            </w:pPr>
          </w:p>
          <w:p w14:paraId="30B45B1E" w14:textId="20B40B30" w:rsidR="00E067B1" w:rsidRPr="00D974CD" w:rsidRDefault="00E067B1" w:rsidP="000300F6">
            <w:pPr>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b/>
                <w:color w:val="6E6E6E" w:themeColor="accent1" w:themeShade="80"/>
                <w:lang w:val="en-GB"/>
              </w:rPr>
            </w:pPr>
            <w:r w:rsidRPr="00D974CD">
              <w:rPr>
                <w:rFonts w:ascii="Open Sans" w:hAnsi="Open Sans" w:cs="Open Sans"/>
                <w:b/>
                <w:color w:val="6E6E6E" w:themeColor="accent1" w:themeShade="80"/>
                <w:lang w:val="en-GB"/>
              </w:rPr>
              <w:t>Number</w:t>
            </w:r>
          </w:p>
        </w:tc>
        <w:tc>
          <w:tcPr>
            <w:tcW w:w="1625" w:type="dxa"/>
            <w:tcBorders>
              <w:top w:val="none" w:sz="0" w:space="0" w:color="auto"/>
              <w:bottom w:val="none" w:sz="0" w:space="0" w:color="auto"/>
              <w:right w:val="none" w:sz="0" w:space="0" w:color="auto"/>
            </w:tcBorders>
          </w:tcPr>
          <w:p w14:paraId="5B940A99" w14:textId="77777777" w:rsidR="000300F6" w:rsidRPr="00D974CD" w:rsidRDefault="000300F6" w:rsidP="000300F6">
            <w:pPr>
              <w:pStyle w:val="Default"/>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b/>
                <w:iCs/>
                <w:color w:val="6E6E6E" w:themeColor="accent1" w:themeShade="80"/>
                <w:sz w:val="22"/>
                <w:szCs w:val="22"/>
                <w:lang w:val="en-GB"/>
              </w:rPr>
            </w:pPr>
          </w:p>
          <w:p w14:paraId="2AAAA4A6" w14:textId="361DFFCA" w:rsidR="0099731D" w:rsidRPr="00D974CD" w:rsidRDefault="003F0BBC" w:rsidP="000300F6">
            <w:pPr>
              <w:pStyle w:val="Default"/>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b/>
                <w:color w:val="6E6E6E" w:themeColor="accent1" w:themeShade="80"/>
                <w:lang w:val="en-GB"/>
              </w:rPr>
            </w:pPr>
            <w:r w:rsidRPr="00D974CD">
              <w:rPr>
                <w:rFonts w:ascii="Open Sans" w:hAnsi="Open Sans" w:cs="Open Sans"/>
                <w:b/>
                <w:iCs/>
                <w:color w:val="6E6E6E" w:themeColor="accent1" w:themeShade="80"/>
                <w:sz w:val="22"/>
                <w:szCs w:val="22"/>
                <w:lang w:val="en-GB"/>
              </w:rPr>
              <w:t>19</w:t>
            </w:r>
          </w:p>
          <w:p w14:paraId="4BF1DF1C" w14:textId="77777777" w:rsidR="00E067B1" w:rsidRPr="00D974CD" w:rsidRDefault="00E067B1" w:rsidP="000300F6">
            <w:pPr>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b/>
                <w:color w:val="6E6E6E" w:themeColor="accent1" w:themeShade="80"/>
                <w:lang w:val="en-GB"/>
              </w:rPr>
            </w:pPr>
          </w:p>
        </w:tc>
      </w:tr>
    </w:tbl>
    <w:p w14:paraId="55574E16" w14:textId="77777777" w:rsidR="000D504A" w:rsidRDefault="000D504A" w:rsidP="000D504A">
      <w:pPr>
        <w:spacing w:after="0"/>
        <w:jc w:val="both"/>
        <w:rPr>
          <w:rFonts w:ascii="Trebuchet MS" w:hAnsi="Trebuchet MS" w:cs="Arial"/>
          <w:b/>
          <w:lang w:val="en-GB"/>
        </w:rPr>
      </w:pPr>
    </w:p>
    <w:p w14:paraId="115B91F0" w14:textId="77777777" w:rsidR="000D504A" w:rsidRPr="000D504A" w:rsidRDefault="000D504A" w:rsidP="000D504A">
      <w:pPr>
        <w:spacing w:after="0"/>
        <w:jc w:val="both"/>
        <w:rPr>
          <w:rFonts w:ascii="Open Sans" w:hAnsi="Open Sans" w:cs="Open Sans"/>
          <w:b/>
          <w:i/>
          <w:iCs/>
          <w:lang w:val="en-GB"/>
        </w:rPr>
      </w:pPr>
      <w:r w:rsidRPr="000D504A">
        <w:rPr>
          <w:rFonts w:ascii="Open Sans" w:hAnsi="Open Sans" w:cs="Open Sans"/>
          <w:b/>
          <w:lang w:val="en-GB"/>
        </w:rPr>
        <w:t xml:space="preserve">Considering the 75% financial allocation for the indicator </w:t>
      </w:r>
      <w:r w:rsidRPr="000D504A">
        <w:rPr>
          <w:rFonts w:ascii="Open Sans" w:hAnsi="Open Sans" w:cs="Open Sans"/>
          <w:b/>
          <w:i/>
          <w:lang w:val="en-GB"/>
        </w:rPr>
        <w:t xml:space="preserve">6/b1, </w:t>
      </w:r>
      <w:r w:rsidRPr="000D504A">
        <w:rPr>
          <w:rFonts w:ascii="Open Sans" w:hAnsi="Open Sans" w:cs="Open Sans"/>
          <w:b/>
          <w:iCs/>
          <w:lang w:val="en-GB"/>
        </w:rPr>
        <w:t>the total estimated cost per measurement point should be around EUR 500,000 from total funds</w:t>
      </w:r>
      <w:r w:rsidRPr="000D504A">
        <w:rPr>
          <w:rFonts w:ascii="Open Sans" w:hAnsi="Open Sans" w:cs="Open Sans"/>
          <w:b/>
          <w:i/>
          <w:iCs/>
          <w:lang w:val="en-GB"/>
        </w:rPr>
        <w:t>. This means that, no matter what your project involves in terms of activities or investments, each 500,000 euro spent will have to ensure at least 1 measurement point positively affected by the interventions.</w:t>
      </w:r>
    </w:p>
    <w:p w14:paraId="4765C45C" w14:textId="00FA65E7" w:rsidR="000D504A" w:rsidRPr="007736F6" w:rsidRDefault="000D504A" w:rsidP="000D504A">
      <w:pPr>
        <w:spacing w:after="0"/>
        <w:jc w:val="both"/>
        <w:rPr>
          <w:rFonts w:ascii="Trebuchet MS" w:hAnsi="Trebuchet MS" w:cs="Arial"/>
          <w:b/>
          <w:lang w:val="en-GB"/>
        </w:rPr>
      </w:pPr>
      <w:r w:rsidRPr="007736F6">
        <w:rPr>
          <w:rFonts w:ascii="Trebuchet MS" w:hAnsi="Trebuchet MS" w:cs="Arial"/>
          <w:b/>
          <w:i/>
          <w:iCs/>
          <w:lang w:val="en-GB"/>
        </w:rPr>
        <w:t xml:space="preserve"> </w:t>
      </w:r>
    </w:p>
    <w:p w14:paraId="3366073E" w14:textId="217309B4" w:rsidR="00091910" w:rsidRPr="00D974CD" w:rsidRDefault="00C23631" w:rsidP="00D974CD">
      <w:pPr>
        <w:autoSpaceDE w:val="0"/>
        <w:autoSpaceDN w:val="0"/>
        <w:adjustRightInd w:val="0"/>
        <w:spacing w:after="120" w:line="240" w:lineRule="auto"/>
        <w:jc w:val="both"/>
        <w:rPr>
          <w:rFonts w:ascii="Open Sans" w:hAnsi="Open Sans" w:cs="Open Sans"/>
          <w:b/>
          <w:color w:val="6E6E6E" w:themeColor="accent1" w:themeShade="80"/>
          <w:lang w:val="en-GB"/>
        </w:rPr>
      </w:pPr>
      <w:r w:rsidRPr="00D974CD">
        <w:rPr>
          <w:rFonts w:ascii="Open Sans" w:hAnsi="Open Sans" w:cs="Open Sans"/>
          <w:b/>
          <w:color w:val="6E6E6E" w:themeColor="accent1" w:themeShade="80"/>
          <w:lang w:val="en-GB"/>
        </w:rPr>
        <w:t xml:space="preserve">Definition </w:t>
      </w:r>
    </w:p>
    <w:p w14:paraId="0542787E" w14:textId="77777777" w:rsidR="00FC12C0" w:rsidRPr="00D974CD" w:rsidRDefault="00FC12C0" w:rsidP="00D974CD">
      <w:pPr>
        <w:autoSpaceDE w:val="0"/>
        <w:autoSpaceDN w:val="0"/>
        <w:adjustRightInd w:val="0"/>
        <w:spacing w:after="120"/>
        <w:jc w:val="both"/>
        <w:rPr>
          <w:rFonts w:ascii="Open Sans" w:hAnsi="Open Sans" w:cs="Open Sans"/>
          <w:color w:val="6E6E6E" w:themeColor="accent1" w:themeShade="80"/>
          <w:lang w:val="en-GB"/>
        </w:rPr>
      </w:pPr>
      <w:r w:rsidRPr="00D974CD">
        <w:rPr>
          <w:rFonts w:ascii="Open Sans" w:hAnsi="Open Sans" w:cs="Open Sans"/>
          <w:color w:val="6E6E6E" w:themeColor="accent1" w:themeShade="80"/>
          <w:lang w:val="en-GB"/>
        </w:rPr>
        <w:t>The proposed output indicator is “Number of measurement points positively affected by the interventions (after the completion of the project)”, where „positively affected” means that the interventions delivered contribute to improving the ecological quality of the water measured at the given measurement point, and this has to be demonstrated at the end of the project.</w:t>
      </w:r>
    </w:p>
    <w:p w14:paraId="62151F29" w14:textId="77777777" w:rsidR="00FC12C0" w:rsidRPr="00D974CD" w:rsidRDefault="00FC12C0" w:rsidP="0003137E">
      <w:pPr>
        <w:autoSpaceDE w:val="0"/>
        <w:autoSpaceDN w:val="0"/>
        <w:adjustRightInd w:val="0"/>
        <w:spacing w:after="0"/>
        <w:jc w:val="both"/>
        <w:rPr>
          <w:rFonts w:ascii="Open Sans" w:hAnsi="Open Sans" w:cs="Open Sans"/>
          <w:color w:val="6E6E6E" w:themeColor="accent1" w:themeShade="80"/>
          <w:lang w:val="en-GB"/>
        </w:rPr>
      </w:pPr>
      <w:r w:rsidRPr="00D974CD">
        <w:rPr>
          <w:rFonts w:ascii="Open Sans" w:hAnsi="Open Sans" w:cs="Open Sans"/>
          <w:color w:val="6E6E6E" w:themeColor="accent1" w:themeShade="80"/>
          <w:lang w:val="en-GB"/>
        </w:rPr>
        <w:t xml:space="preserve">The specific objective for this </w:t>
      </w:r>
      <w:proofErr w:type="spellStart"/>
      <w:r w:rsidRPr="00D974CD">
        <w:rPr>
          <w:rFonts w:ascii="Open Sans" w:hAnsi="Open Sans" w:cs="Open Sans"/>
          <w:color w:val="6E6E6E" w:themeColor="accent1" w:themeShade="80"/>
          <w:lang w:val="en-GB"/>
        </w:rPr>
        <w:t>Ip</w:t>
      </w:r>
      <w:proofErr w:type="spellEnd"/>
      <w:r w:rsidRPr="00D974CD">
        <w:rPr>
          <w:rFonts w:ascii="Open Sans" w:hAnsi="Open Sans" w:cs="Open Sans"/>
          <w:color w:val="6E6E6E" w:themeColor="accent1" w:themeShade="80"/>
          <w:lang w:val="en-GB"/>
        </w:rPr>
        <w:t xml:space="preserve"> is “Improved quality management of cross-border </w:t>
      </w:r>
      <w:proofErr w:type="gramStart"/>
      <w:r w:rsidRPr="00D974CD">
        <w:rPr>
          <w:rFonts w:ascii="Open Sans" w:hAnsi="Open Sans" w:cs="Open Sans"/>
          <w:color w:val="6E6E6E" w:themeColor="accent1" w:themeShade="80"/>
          <w:lang w:val="en-GB"/>
        </w:rPr>
        <w:t>rivers</w:t>
      </w:r>
      <w:proofErr w:type="gramEnd"/>
      <w:r w:rsidRPr="00D974CD">
        <w:rPr>
          <w:rFonts w:ascii="Open Sans" w:hAnsi="Open Sans" w:cs="Open Sans"/>
          <w:color w:val="6E6E6E" w:themeColor="accent1" w:themeShade="80"/>
          <w:lang w:val="en-GB"/>
        </w:rPr>
        <w:t xml:space="preserve"> and ground water bodies”, and the types of actions foreseen all contribute directly or indirectly to water quality improvement. The output indicator selected:</w:t>
      </w:r>
    </w:p>
    <w:p w14:paraId="5F595A3C" w14:textId="0B46A615" w:rsidR="00FC12C0" w:rsidRPr="00D974CD" w:rsidRDefault="00DC00F1" w:rsidP="0003137E">
      <w:pPr>
        <w:pStyle w:val="ListParagraph"/>
        <w:numPr>
          <w:ilvl w:val="0"/>
          <w:numId w:val="70"/>
        </w:numPr>
        <w:autoSpaceDE w:val="0"/>
        <w:autoSpaceDN w:val="0"/>
        <w:adjustRightInd w:val="0"/>
        <w:spacing w:after="0"/>
        <w:jc w:val="both"/>
        <w:rPr>
          <w:rFonts w:ascii="Open Sans" w:hAnsi="Open Sans" w:cs="Open Sans"/>
          <w:color w:val="6E6E6E" w:themeColor="accent1" w:themeShade="80"/>
          <w:lang w:val="en-GB"/>
        </w:rPr>
      </w:pPr>
      <w:r w:rsidRPr="00D974CD">
        <w:rPr>
          <w:rFonts w:ascii="Open Sans" w:hAnsi="Open Sans" w:cs="Open Sans"/>
          <w:color w:val="6E6E6E" w:themeColor="accent1" w:themeShade="80"/>
          <w:lang w:val="en-GB"/>
        </w:rPr>
        <w:t>r</w:t>
      </w:r>
      <w:r w:rsidR="00FC12C0" w:rsidRPr="00D974CD">
        <w:rPr>
          <w:rFonts w:ascii="Open Sans" w:hAnsi="Open Sans" w:cs="Open Sans"/>
          <w:color w:val="6E6E6E" w:themeColor="accent1" w:themeShade="80"/>
          <w:lang w:val="en-GB"/>
        </w:rPr>
        <w:t>eflects the outcome of the interventions delivered</w:t>
      </w:r>
    </w:p>
    <w:p w14:paraId="01E790AF" w14:textId="28C114F4" w:rsidR="00FC12C0" w:rsidRPr="00D974CD" w:rsidRDefault="00DC00F1" w:rsidP="0003137E">
      <w:pPr>
        <w:pStyle w:val="ListParagraph"/>
        <w:numPr>
          <w:ilvl w:val="0"/>
          <w:numId w:val="70"/>
        </w:numPr>
        <w:autoSpaceDE w:val="0"/>
        <w:autoSpaceDN w:val="0"/>
        <w:adjustRightInd w:val="0"/>
        <w:spacing w:after="0"/>
        <w:jc w:val="both"/>
        <w:rPr>
          <w:rFonts w:ascii="Open Sans" w:hAnsi="Open Sans" w:cs="Open Sans"/>
          <w:color w:val="6E6E6E" w:themeColor="accent1" w:themeShade="80"/>
          <w:lang w:val="en-GB"/>
        </w:rPr>
      </w:pPr>
      <w:proofErr w:type="gramStart"/>
      <w:r w:rsidRPr="00D974CD">
        <w:rPr>
          <w:rFonts w:ascii="Open Sans" w:hAnsi="Open Sans" w:cs="Open Sans"/>
          <w:color w:val="6E6E6E" w:themeColor="accent1" w:themeShade="80"/>
          <w:lang w:val="en-GB"/>
        </w:rPr>
        <w:t>r</w:t>
      </w:r>
      <w:r w:rsidR="00FC12C0" w:rsidRPr="00D974CD">
        <w:rPr>
          <w:rFonts w:ascii="Open Sans" w:hAnsi="Open Sans" w:cs="Open Sans"/>
          <w:color w:val="6E6E6E" w:themeColor="accent1" w:themeShade="80"/>
          <w:lang w:val="en-GB"/>
        </w:rPr>
        <w:t>eflects</w:t>
      </w:r>
      <w:proofErr w:type="gramEnd"/>
      <w:r w:rsidR="00FC12C0" w:rsidRPr="00D974CD">
        <w:rPr>
          <w:rFonts w:ascii="Open Sans" w:hAnsi="Open Sans" w:cs="Open Sans"/>
          <w:color w:val="6E6E6E" w:themeColor="accent1" w:themeShade="80"/>
          <w:lang w:val="en-GB"/>
        </w:rPr>
        <w:t xml:space="preserve"> the link between the outputs and the expected results – quality improvement – of the interventions.</w:t>
      </w:r>
    </w:p>
    <w:p w14:paraId="14967253" w14:textId="388C8494" w:rsidR="00FC12C0" w:rsidRPr="00D974CD" w:rsidRDefault="00FC12C0" w:rsidP="00D974CD">
      <w:pPr>
        <w:autoSpaceDE w:val="0"/>
        <w:autoSpaceDN w:val="0"/>
        <w:adjustRightInd w:val="0"/>
        <w:spacing w:before="120" w:after="120"/>
        <w:jc w:val="both"/>
        <w:rPr>
          <w:rFonts w:ascii="Open Sans" w:hAnsi="Open Sans" w:cs="Open Sans"/>
          <w:color w:val="6E6E6E" w:themeColor="accent1" w:themeShade="80"/>
          <w:lang w:val="en-GB"/>
        </w:rPr>
      </w:pPr>
      <w:r w:rsidRPr="00D974CD">
        <w:rPr>
          <w:rFonts w:ascii="Open Sans" w:hAnsi="Open Sans" w:cs="Open Sans"/>
          <w:color w:val="6E6E6E" w:themeColor="accent1" w:themeShade="80"/>
          <w:lang w:val="en-GB"/>
        </w:rPr>
        <w:t xml:space="preserve">In addition, this output indicator has a clear link with the result indicator – “Slight increase in water quality (ecological condition) of cross-border </w:t>
      </w:r>
      <w:proofErr w:type="gramStart"/>
      <w:r w:rsidRPr="00D974CD">
        <w:rPr>
          <w:rFonts w:ascii="Open Sans" w:hAnsi="Open Sans" w:cs="Open Sans"/>
          <w:color w:val="6E6E6E" w:themeColor="accent1" w:themeShade="80"/>
          <w:lang w:val="en-GB"/>
        </w:rPr>
        <w:t>rivers</w:t>
      </w:r>
      <w:proofErr w:type="gramEnd"/>
      <w:r w:rsidRPr="00D974CD">
        <w:rPr>
          <w:rFonts w:ascii="Open Sans" w:hAnsi="Open Sans" w:cs="Open Sans"/>
          <w:color w:val="6E6E6E" w:themeColor="accent1" w:themeShade="80"/>
          <w:lang w:val="en-GB"/>
        </w:rPr>
        <w:t xml:space="preserve"> at the measurement points in the eligible area”, so the output and result indicator properly reflect the intervention logic under this </w:t>
      </w:r>
      <w:proofErr w:type="spellStart"/>
      <w:r w:rsidRPr="00D974CD">
        <w:rPr>
          <w:rFonts w:ascii="Open Sans" w:hAnsi="Open Sans" w:cs="Open Sans"/>
          <w:color w:val="6E6E6E" w:themeColor="accent1" w:themeShade="80"/>
          <w:lang w:val="en-GB"/>
        </w:rPr>
        <w:t>Ip</w:t>
      </w:r>
      <w:proofErr w:type="spellEnd"/>
      <w:r w:rsidRPr="00D974CD">
        <w:rPr>
          <w:rFonts w:ascii="Open Sans" w:hAnsi="Open Sans" w:cs="Open Sans"/>
          <w:color w:val="6E6E6E" w:themeColor="accent1" w:themeShade="80"/>
          <w:lang w:val="en-GB"/>
        </w:rPr>
        <w:t>.</w:t>
      </w:r>
      <w:r w:rsidR="00C23631" w:rsidRPr="00D974CD">
        <w:rPr>
          <w:rFonts w:ascii="Open Sans" w:hAnsi="Open Sans" w:cs="Open Sans"/>
          <w:color w:val="6E6E6E" w:themeColor="accent1" w:themeShade="80"/>
          <w:lang w:val="en-GB"/>
        </w:rPr>
        <w:t xml:space="preserve"> </w:t>
      </w:r>
    </w:p>
    <w:p w14:paraId="50BB95F4" w14:textId="5810A13C" w:rsidR="00F051AD" w:rsidRPr="00D974CD" w:rsidRDefault="00F051AD" w:rsidP="00D974CD">
      <w:pPr>
        <w:autoSpaceDE w:val="0"/>
        <w:autoSpaceDN w:val="0"/>
        <w:adjustRightInd w:val="0"/>
        <w:spacing w:after="120" w:line="240" w:lineRule="auto"/>
        <w:jc w:val="both"/>
        <w:rPr>
          <w:rFonts w:ascii="Open Sans" w:hAnsi="Open Sans" w:cs="Open Sans"/>
          <w:color w:val="6E6E6E" w:themeColor="accent1" w:themeShade="80"/>
          <w:lang w:val="en-GB"/>
        </w:rPr>
      </w:pPr>
      <w:r w:rsidRPr="00D974CD">
        <w:rPr>
          <w:rFonts w:ascii="Open Sans" w:hAnsi="Open Sans" w:cs="Open Sans"/>
          <w:b/>
          <w:color w:val="6E6E6E" w:themeColor="accent1" w:themeShade="80"/>
          <w:lang w:val="en-GB"/>
        </w:rPr>
        <w:t>I</w:t>
      </w:r>
      <w:r w:rsidR="00C23631" w:rsidRPr="00D974CD">
        <w:rPr>
          <w:rFonts w:ascii="Open Sans" w:hAnsi="Open Sans" w:cs="Open Sans"/>
          <w:b/>
          <w:color w:val="6E6E6E" w:themeColor="accent1" w:themeShade="80"/>
          <w:lang w:val="en-GB"/>
        </w:rPr>
        <w:t>t is important to</w:t>
      </w:r>
      <w:r w:rsidRPr="00D974CD">
        <w:rPr>
          <w:rFonts w:ascii="Open Sans" w:hAnsi="Open Sans" w:cs="Open Sans"/>
          <w:b/>
          <w:color w:val="6E6E6E" w:themeColor="accent1" w:themeShade="80"/>
          <w:lang w:val="en-GB"/>
        </w:rPr>
        <w:t xml:space="preserve"> take into account</w:t>
      </w:r>
      <w:r w:rsidR="00C23631" w:rsidRPr="00D974CD">
        <w:rPr>
          <w:rFonts w:ascii="Open Sans" w:hAnsi="Open Sans" w:cs="Open Sans"/>
          <w:color w:val="6E6E6E" w:themeColor="accent1" w:themeShade="80"/>
          <w:lang w:val="en-GB"/>
        </w:rPr>
        <w:t xml:space="preserve">: </w:t>
      </w:r>
    </w:p>
    <w:p w14:paraId="2BD71944" w14:textId="7C021E59" w:rsidR="00FC12C0" w:rsidRPr="00D974CD" w:rsidRDefault="00FC12C0" w:rsidP="00A646BD">
      <w:pPr>
        <w:pStyle w:val="ListParagraph"/>
        <w:numPr>
          <w:ilvl w:val="0"/>
          <w:numId w:val="65"/>
        </w:numPr>
        <w:autoSpaceDE w:val="0"/>
        <w:autoSpaceDN w:val="0"/>
        <w:adjustRightInd w:val="0"/>
        <w:spacing w:before="120" w:after="120" w:line="240" w:lineRule="auto"/>
        <w:jc w:val="both"/>
        <w:rPr>
          <w:rFonts w:ascii="Open Sans" w:hAnsi="Open Sans" w:cs="Open Sans"/>
          <w:color w:val="6E6E6E" w:themeColor="accent1" w:themeShade="80"/>
          <w:lang w:val="en-GB"/>
        </w:rPr>
      </w:pPr>
      <w:r w:rsidRPr="00D974CD">
        <w:rPr>
          <w:rFonts w:ascii="Open Sans" w:hAnsi="Open Sans" w:cs="Open Sans"/>
          <w:color w:val="6E6E6E" w:themeColor="accent1" w:themeShade="80"/>
          <w:lang w:val="en-GB"/>
        </w:rPr>
        <w:t>that projects need to contribute to the quality improvement of cross-border rivers,</w:t>
      </w:r>
    </w:p>
    <w:p w14:paraId="75F117F9" w14:textId="149ACD33" w:rsidR="00FC12C0" w:rsidRPr="00D974CD" w:rsidRDefault="00FC12C0" w:rsidP="00A646BD">
      <w:pPr>
        <w:pStyle w:val="ListParagraph"/>
        <w:numPr>
          <w:ilvl w:val="0"/>
          <w:numId w:val="65"/>
        </w:numPr>
        <w:autoSpaceDE w:val="0"/>
        <w:autoSpaceDN w:val="0"/>
        <w:adjustRightInd w:val="0"/>
        <w:spacing w:before="120" w:after="120" w:line="240" w:lineRule="auto"/>
        <w:jc w:val="both"/>
        <w:rPr>
          <w:rFonts w:ascii="Open Sans" w:hAnsi="Open Sans" w:cs="Open Sans"/>
          <w:color w:val="6E6E6E" w:themeColor="accent1" w:themeShade="80"/>
          <w:lang w:val="en-GB"/>
        </w:rPr>
      </w:pPr>
      <w:r w:rsidRPr="00D974CD">
        <w:rPr>
          <w:rFonts w:ascii="Open Sans" w:hAnsi="Open Sans" w:cs="Open Sans"/>
          <w:color w:val="6E6E6E" w:themeColor="accent1" w:themeShade="80"/>
          <w:lang w:val="en-GB"/>
        </w:rPr>
        <w:t>the expectation presented above regarding the number of measurement points to be positively affected,</w:t>
      </w:r>
    </w:p>
    <w:p w14:paraId="3AFFACB5" w14:textId="30A0C56E" w:rsidR="00FC12C0" w:rsidRDefault="00FC12C0" w:rsidP="00A646BD">
      <w:pPr>
        <w:pStyle w:val="ListParagraph"/>
        <w:numPr>
          <w:ilvl w:val="0"/>
          <w:numId w:val="65"/>
        </w:numPr>
        <w:autoSpaceDE w:val="0"/>
        <w:autoSpaceDN w:val="0"/>
        <w:adjustRightInd w:val="0"/>
        <w:spacing w:before="120" w:after="120"/>
        <w:jc w:val="both"/>
        <w:rPr>
          <w:rFonts w:ascii="Open Sans" w:hAnsi="Open Sans" w:cs="Open Sans"/>
          <w:color w:val="6E6E6E" w:themeColor="accent1" w:themeShade="80"/>
          <w:lang w:val="en-GB"/>
        </w:rPr>
      </w:pPr>
      <w:proofErr w:type="gramStart"/>
      <w:r w:rsidRPr="00D974CD">
        <w:rPr>
          <w:rFonts w:ascii="Open Sans" w:hAnsi="Open Sans" w:cs="Open Sans"/>
          <w:color w:val="6E6E6E" w:themeColor="accent1" w:themeShade="80"/>
          <w:lang w:val="en-GB"/>
        </w:rPr>
        <w:t>the</w:t>
      </w:r>
      <w:proofErr w:type="gramEnd"/>
      <w:r w:rsidRPr="00D974CD">
        <w:rPr>
          <w:rFonts w:ascii="Open Sans" w:hAnsi="Open Sans" w:cs="Open Sans"/>
          <w:color w:val="6E6E6E" w:themeColor="accent1" w:themeShade="80"/>
          <w:lang w:val="en-GB"/>
        </w:rPr>
        <w:t xml:space="preserve"> requirement that information regarding the value of the indicator needs to be reported by the beneficiary at the end of the proje</w:t>
      </w:r>
      <w:r w:rsidR="00D974CD">
        <w:rPr>
          <w:rFonts w:ascii="Open Sans" w:hAnsi="Open Sans" w:cs="Open Sans"/>
          <w:color w:val="6E6E6E" w:themeColor="accent1" w:themeShade="80"/>
          <w:lang w:val="en-GB"/>
        </w:rPr>
        <w:t>ct.</w:t>
      </w:r>
    </w:p>
    <w:p w14:paraId="2F4D5EFA" w14:textId="7B1652F4" w:rsidR="00FC0241" w:rsidRPr="00D974CD" w:rsidRDefault="00D01C1E" w:rsidP="00D974CD">
      <w:pPr>
        <w:shd w:val="clear" w:color="auto" w:fill="707070" w:themeFill="accent3" w:themeFillShade="BF"/>
        <w:jc w:val="both"/>
        <w:rPr>
          <w:rFonts w:ascii="Open Sans" w:hAnsi="Open Sans" w:cs="Open Sans"/>
          <w:b/>
          <w:color w:val="6E6E6E" w:themeColor="accent1" w:themeShade="80"/>
          <w:sz w:val="24"/>
          <w:szCs w:val="24"/>
          <w:lang w:val="en-GB"/>
        </w:rPr>
      </w:pPr>
      <w:r w:rsidRPr="00D974CD">
        <w:rPr>
          <w:rFonts w:ascii="Open Sans" w:hAnsi="Open Sans" w:cs="Open Sans"/>
          <w:b/>
          <w:color w:val="6E6E6E" w:themeColor="accent1" w:themeShade="80"/>
          <w:sz w:val="72"/>
          <w:szCs w:val="72"/>
          <w:lang w:val="en-GB"/>
        </w:rPr>
        <w:sym w:font="Wingdings" w:char="F03A"/>
      </w:r>
      <w:r w:rsidRPr="00D974CD">
        <w:rPr>
          <w:rFonts w:ascii="Open Sans" w:hAnsi="Open Sans" w:cs="Open Sans"/>
          <w:b/>
          <w:color w:val="6E6E6E" w:themeColor="accent1" w:themeShade="80"/>
          <w:sz w:val="24"/>
          <w:szCs w:val="24"/>
          <w:lang w:val="en-GB"/>
        </w:rPr>
        <w:t xml:space="preserve">Methodology for defining and calculating the </w:t>
      </w:r>
      <w:r w:rsidR="00381DED" w:rsidRPr="00D974CD">
        <w:rPr>
          <w:rFonts w:ascii="Open Sans" w:hAnsi="Open Sans" w:cs="Open Sans"/>
          <w:b/>
          <w:color w:val="6E6E6E" w:themeColor="accent1" w:themeShade="80"/>
          <w:sz w:val="24"/>
          <w:szCs w:val="24"/>
          <w:lang w:val="en-GB"/>
        </w:rPr>
        <w:t>RESULT</w:t>
      </w:r>
      <w:r w:rsidRPr="00D974CD">
        <w:rPr>
          <w:rFonts w:ascii="Open Sans" w:hAnsi="Open Sans" w:cs="Open Sans"/>
          <w:b/>
          <w:color w:val="6E6E6E" w:themeColor="accent1" w:themeShade="80"/>
          <w:sz w:val="24"/>
          <w:szCs w:val="24"/>
          <w:lang w:val="en-GB"/>
        </w:rPr>
        <w:t xml:space="preserve"> indicators:</w:t>
      </w:r>
    </w:p>
    <w:p w14:paraId="52EFDDE1" w14:textId="6E9EDB3A" w:rsidR="00581276" w:rsidRPr="00D974CD" w:rsidRDefault="00581276" w:rsidP="00D974CD">
      <w:pPr>
        <w:pStyle w:val="Default"/>
        <w:spacing w:after="120" w:line="276" w:lineRule="auto"/>
        <w:jc w:val="both"/>
        <w:rPr>
          <w:rFonts w:ascii="Open Sans" w:hAnsi="Open Sans" w:cs="Open Sans"/>
          <w:b/>
          <w:iCs/>
          <w:color w:val="6E6E6E" w:themeColor="accent1" w:themeShade="80"/>
          <w:sz w:val="22"/>
          <w:szCs w:val="22"/>
          <w:lang w:val="en-GB"/>
        </w:rPr>
      </w:pPr>
      <w:r w:rsidRPr="00D974CD">
        <w:rPr>
          <w:rFonts w:ascii="Open Sans" w:hAnsi="Open Sans" w:cs="Open Sans"/>
          <w:b/>
          <w:iCs/>
          <w:color w:val="6E6E6E" w:themeColor="accent1" w:themeShade="80"/>
          <w:sz w:val="22"/>
          <w:szCs w:val="22"/>
          <w:lang w:val="en-GB"/>
        </w:rPr>
        <w:t xml:space="preserve">It is mandatory to be mentioned in your application form, how the output indicators will contribute to the achievement of the result </w:t>
      </w:r>
      <w:r w:rsidR="008C59F1" w:rsidRPr="00D974CD">
        <w:rPr>
          <w:rFonts w:ascii="Open Sans" w:hAnsi="Open Sans" w:cs="Open Sans"/>
          <w:b/>
          <w:iCs/>
          <w:color w:val="6E6E6E" w:themeColor="accent1" w:themeShade="80"/>
          <w:sz w:val="22"/>
          <w:szCs w:val="22"/>
          <w:lang w:val="en-GB"/>
        </w:rPr>
        <w:t>indicators of</w:t>
      </w:r>
      <w:r w:rsidRPr="00D974CD">
        <w:rPr>
          <w:rFonts w:ascii="Open Sans" w:hAnsi="Open Sans" w:cs="Open Sans"/>
          <w:b/>
          <w:iCs/>
          <w:color w:val="6E6E6E" w:themeColor="accent1" w:themeShade="80"/>
          <w:sz w:val="22"/>
          <w:szCs w:val="22"/>
          <w:lang w:val="en-GB"/>
        </w:rPr>
        <w:t xml:space="preserve"> the programme. </w:t>
      </w:r>
      <w:r w:rsidR="00FC3D58">
        <w:rPr>
          <w:rFonts w:ascii="Open Sans" w:hAnsi="Open Sans" w:cs="Open Sans"/>
          <w:b/>
          <w:iCs/>
          <w:color w:val="6E6E6E" w:themeColor="accent1" w:themeShade="80"/>
          <w:sz w:val="22"/>
          <w:szCs w:val="22"/>
          <w:lang w:val="en-GB"/>
        </w:rPr>
        <w:t xml:space="preserve">The result indicator for this </w:t>
      </w:r>
      <w:proofErr w:type="spellStart"/>
      <w:r w:rsidR="00FC3D58">
        <w:rPr>
          <w:rFonts w:ascii="Open Sans" w:hAnsi="Open Sans" w:cs="Open Sans"/>
          <w:b/>
          <w:iCs/>
          <w:color w:val="6E6E6E" w:themeColor="accent1" w:themeShade="80"/>
          <w:sz w:val="22"/>
          <w:szCs w:val="22"/>
          <w:lang w:val="en-GB"/>
        </w:rPr>
        <w:t>Ip</w:t>
      </w:r>
      <w:proofErr w:type="spellEnd"/>
      <w:r w:rsidRPr="00D974CD">
        <w:rPr>
          <w:rFonts w:ascii="Open Sans" w:hAnsi="Open Sans" w:cs="Open Sans"/>
          <w:b/>
          <w:iCs/>
          <w:color w:val="6E6E6E" w:themeColor="accent1" w:themeShade="80"/>
          <w:sz w:val="22"/>
          <w:szCs w:val="22"/>
          <w:lang w:val="en-GB"/>
        </w:rPr>
        <w:t xml:space="preserve"> is:</w:t>
      </w:r>
    </w:p>
    <w:tbl>
      <w:tblPr>
        <w:tblStyle w:val="TableGrid"/>
        <w:tblW w:w="9828" w:type="dxa"/>
        <w:tblLayout w:type="fixed"/>
        <w:tblLook w:val="04A0" w:firstRow="1" w:lastRow="0" w:firstColumn="1" w:lastColumn="0" w:noHBand="0" w:noVBand="1"/>
      </w:tblPr>
      <w:tblGrid>
        <w:gridCol w:w="1668"/>
        <w:gridCol w:w="1410"/>
        <w:gridCol w:w="1260"/>
        <w:gridCol w:w="1170"/>
        <w:gridCol w:w="990"/>
        <w:gridCol w:w="1800"/>
        <w:gridCol w:w="1530"/>
      </w:tblGrid>
      <w:tr w:rsidR="00D974CD" w:rsidRPr="00D974CD" w14:paraId="71DF2306" w14:textId="77777777" w:rsidTr="000D504A">
        <w:trPr>
          <w:trHeight w:val="683"/>
        </w:trPr>
        <w:tc>
          <w:tcPr>
            <w:tcW w:w="1668" w:type="dxa"/>
            <w:shd w:val="clear" w:color="auto" w:fill="707070" w:themeFill="accent3" w:themeFillShade="BF"/>
          </w:tcPr>
          <w:p w14:paraId="22FB58BB" w14:textId="0378702E" w:rsidR="00FC0241" w:rsidRPr="00D974CD" w:rsidRDefault="00FC0241" w:rsidP="00D01C1E">
            <w:pPr>
              <w:pStyle w:val="Default"/>
              <w:jc w:val="both"/>
              <w:rPr>
                <w:rFonts w:ascii="Open Sans" w:hAnsi="Open Sans" w:cs="Open Sans"/>
                <w:color w:val="6E6E6E" w:themeColor="accent1" w:themeShade="80"/>
                <w:sz w:val="22"/>
                <w:szCs w:val="22"/>
                <w:lang w:val="en-GB"/>
              </w:rPr>
            </w:pPr>
            <w:r w:rsidRPr="00D974CD">
              <w:rPr>
                <w:rFonts w:ascii="Open Sans" w:hAnsi="Open Sans" w:cs="Open Sans"/>
                <w:b/>
                <w:bCs/>
                <w:color w:val="6E6E6E" w:themeColor="accent1" w:themeShade="80"/>
                <w:sz w:val="22"/>
                <w:szCs w:val="22"/>
                <w:lang w:val="en-GB"/>
              </w:rPr>
              <w:lastRenderedPageBreak/>
              <w:t xml:space="preserve">Specific objective </w:t>
            </w:r>
          </w:p>
        </w:tc>
        <w:tc>
          <w:tcPr>
            <w:tcW w:w="8160" w:type="dxa"/>
            <w:gridSpan w:val="6"/>
            <w:shd w:val="clear" w:color="auto" w:fill="707070" w:themeFill="accent3" w:themeFillShade="BF"/>
          </w:tcPr>
          <w:p w14:paraId="7A0A229F" w14:textId="3C6EBF18" w:rsidR="00FC0241" w:rsidRPr="006A5A2C" w:rsidRDefault="00C378A0" w:rsidP="00D01C1E">
            <w:pPr>
              <w:pStyle w:val="Default"/>
              <w:jc w:val="both"/>
              <w:rPr>
                <w:rFonts w:ascii="Open Sans" w:hAnsi="Open Sans" w:cs="Open Sans"/>
                <w:color w:val="6E6E6E" w:themeColor="accent1" w:themeShade="80"/>
                <w:sz w:val="22"/>
                <w:szCs w:val="22"/>
                <w:lang w:val="en-GB"/>
              </w:rPr>
            </w:pPr>
            <w:r w:rsidRPr="00D974CD">
              <w:rPr>
                <w:rFonts w:ascii="Open Sans" w:hAnsi="Open Sans" w:cs="Open Sans"/>
                <w:b/>
                <w:bCs/>
                <w:color w:val="6E6E6E" w:themeColor="accent1" w:themeShade="80"/>
                <w:sz w:val="22"/>
                <w:szCs w:val="22"/>
                <w:lang w:val="en-GB"/>
              </w:rPr>
              <w:t>SO6/b</w:t>
            </w:r>
            <w:r w:rsidR="00FC0241" w:rsidRPr="00D974CD">
              <w:rPr>
                <w:rFonts w:ascii="Open Sans" w:hAnsi="Open Sans" w:cs="Open Sans"/>
                <w:b/>
                <w:bCs/>
                <w:color w:val="6E6E6E" w:themeColor="accent1" w:themeShade="80"/>
                <w:sz w:val="22"/>
                <w:szCs w:val="22"/>
                <w:lang w:val="en-GB"/>
              </w:rPr>
              <w:t xml:space="preserve"> - </w:t>
            </w:r>
            <w:r w:rsidRPr="00D974CD">
              <w:rPr>
                <w:rFonts w:ascii="Open Sans" w:hAnsi="Open Sans" w:cs="Open Sans"/>
                <w:b/>
                <w:bCs/>
                <w:color w:val="6E6E6E" w:themeColor="accent1" w:themeShade="80"/>
                <w:sz w:val="22"/>
                <w:szCs w:val="22"/>
                <w:lang w:val="en-GB"/>
              </w:rPr>
              <w:t xml:space="preserve">Improved quality management of cross-border rivers and ground water bodies </w:t>
            </w:r>
            <w:r w:rsidR="00FC0241" w:rsidRPr="00D974CD">
              <w:rPr>
                <w:rFonts w:ascii="Open Sans" w:hAnsi="Open Sans" w:cs="Open Sans"/>
                <w:b/>
                <w:bCs/>
                <w:color w:val="6E6E6E" w:themeColor="accent1" w:themeShade="80"/>
                <w:sz w:val="22"/>
                <w:szCs w:val="22"/>
                <w:lang w:val="en-GB"/>
              </w:rPr>
              <w:t xml:space="preserve"> </w:t>
            </w:r>
          </w:p>
        </w:tc>
      </w:tr>
      <w:tr w:rsidR="00D974CD" w:rsidRPr="00D974CD" w14:paraId="10CA2D9B" w14:textId="77777777" w:rsidTr="000D504A">
        <w:tc>
          <w:tcPr>
            <w:tcW w:w="1668" w:type="dxa"/>
            <w:shd w:val="clear" w:color="auto" w:fill="707070" w:themeFill="accent3" w:themeFillShade="BF"/>
          </w:tcPr>
          <w:p w14:paraId="45651DAB" w14:textId="77777777" w:rsidR="00FC0241" w:rsidRPr="00D974CD" w:rsidRDefault="00FC0241" w:rsidP="00FC0241">
            <w:pPr>
              <w:pStyle w:val="Default"/>
              <w:jc w:val="both"/>
              <w:rPr>
                <w:rFonts w:ascii="Open Sans" w:hAnsi="Open Sans" w:cs="Open Sans"/>
                <w:color w:val="6E6E6E" w:themeColor="accent1" w:themeShade="80"/>
                <w:sz w:val="22"/>
                <w:szCs w:val="22"/>
                <w:lang w:val="en-GB"/>
              </w:rPr>
            </w:pPr>
            <w:r w:rsidRPr="00D974CD">
              <w:rPr>
                <w:rFonts w:ascii="Open Sans" w:hAnsi="Open Sans" w:cs="Open Sans"/>
                <w:b/>
                <w:bCs/>
                <w:color w:val="6E6E6E" w:themeColor="accent1" w:themeShade="80"/>
                <w:sz w:val="22"/>
                <w:szCs w:val="22"/>
                <w:lang w:val="en-GB"/>
              </w:rPr>
              <w:t xml:space="preserve">Indicator </w:t>
            </w:r>
          </w:p>
          <w:p w14:paraId="184F815D" w14:textId="77777777" w:rsidR="00FC0241" w:rsidRPr="00D974CD" w:rsidRDefault="00FC0241" w:rsidP="00D01C1E">
            <w:pPr>
              <w:pStyle w:val="Default"/>
              <w:jc w:val="both"/>
              <w:rPr>
                <w:rFonts w:ascii="Open Sans" w:hAnsi="Open Sans" w:cs="Open Sans"/>
                <w:b/>
                <w:iCs/>
                <w:color w:val="6E6E6E" w:themeColor="accent1" w:themeShade="80"/>
                <w:sz w:val="22"/>
                <w:szCs w:val="22"/>
                <w:lang w:val="en-GB"/>
              </w:rPr>
            </w:pPr>
          </w:p>
        </w:tc>
        <w:tc>
          <w:tcPr>
            <w:tcW w:w="1410" w:type="dxa"/>
            <w:shd w:val="clear" w:color="auto" w:fill="707070" w:themeFill="accent3" w:themeFillShade="BF"/>
          </w:tcPr>
          <w:p w14:paraId="3D227AB7" w14:textId="48E047A5" w:rsidR="00FC0241" w:rsidRPr="00D974CD" w:rsidRDefault="00FC0241" w:rsidP="00D01C1E">
            <w:pPr>
              <w:pStyle w:val="Default"/>
              <w:jc w:val="both"/>
              <w:rPr>
                <w:rFonts w:ascii="Open Sans" w:hAnsi="Open Sans" w:cs="Open Sans"/>
                <w:b/>
                <w:iCs/>
                <w:color w:val="6E6E6E" w:themeColor="accent1" w:themeShade="80"/>
                <w:sz w:val="22"/>
                <w:szCs w:val="22"/>
                <w:lang w:val="en-GB"/>
              </w:rPr>
            </w:pPr>
            <w:r w:rsidRPr="00D974CD">
              <w:rPr>
                <w:rFonts w:ascii="Open Sans" w:hAnsi="Open Sans" w:cs="Open Sans"/>
                <w:b/>
                <w:bCs/>
                <w:color w:val="6E6E6E" w:themeColor="accent1" w:themeShade="80"/>
                <w:sz w:val="22"/>
                <w:szCs w:val="22"/>
                <w:lang w:val="en-GB"/>
              </w:rPr>
              <w:t>Measure</w:t>
            </w:r>
            <w:r w:rsidR="00560722" w:rsidRPr="00D974CD">
              <w:rPr>
                <w:rFonts w:ascii="Open Sans" w:hAnsi="Open Sans" w:cs="Open Sans"/>
                <w:b/>
                <w:bCs/>
                <w:color w:val="6E6E6E" w:themeColor="accent1" w:themeShade="80"/>
                <w:sz w:val="22"/>
                <w:szCs w:val="22"/>
                <w:lang w:val="en-GB"/>
              </w:rPr>
              <w:t>-</w:t>
            </w:r>
            <w:proofErr w:type="spellStart"/>
            <w:r w:rsidRPr="00D974CD">
              <w:rPr>
                <w:rFonts w:ascii="Open Sans" w:hAnsi="Open Sans" w:cs="Open Sans"/>
                <w:b/>
                <w:bCs/>
                <w:color w:val="6E6E6E" w:themeColor="accent1" w:themeShade="80"/>
                <w:sz w:val="22"/>
                <w:szCs w:val="22"/>
                <w:lang w:val="en-GB"/>
              </w:rPr>
              <w:t>ment</w:t>
            </w:r>
            <w:proofErr w:type="spellEnd"/>
            <w:r w:rsidRPr="00D974CD">
              <w:rPr>
                <w:rFonts w:ascii="Open Sans" w:hAnsi="Open Sans" w:cs="Open Sans"/>
                <w:b/>
                <w:bCs/>
                <w:color w:val="6E6E6E" w:themeColor="accent1" w:themeShade="80"/>
                <w:sz w:val="22"/>
                <w:szCs w:val="22"/>
                <w:lang w:val="en-GB"/>
              </w:rPr>
              <w:t xml:space="preserve"> unit </w:t>
            </w:r>
          </w:p>
        </w:tc>
        <w:tc>
          <w:tcPr>
            <w:tcW w:w="1260" w:type="dxa"/>
            <w:shd w:val="clear" w:color="auto" w:fill="707070" w:themeFill="accent3" w:themeFillShade="BF"/>
          </w:tcPr>
          <w:p w14:paraId="6ECAA594" w14:textId="7A8D31AC" w:rsidR="00FC0241" w:rsidRPr="00D974CD" w:rsidRDefault="00FC0241" w:rsidP="00D01C1E">
            <w:pPr>
              <w:pStyle w:val="Default"/>
              <w:jc w:val="both"/>
              <w:rPr>
                <w:rFonts w:ascii="Open Sans" w:hAnsi="Open Sans" w:cs="Open Sans"/>
                <w:b/>
                <w:iCs/>
                <w:color w:val="6E6E6E" w:themeColor="accent1" w:themeShade="80"/>
                <w:sz w:val="22"/>
                <w:szCs w:val="22"/>
                <w:lang w:val="en-GB"/>
              </w:rPr>
            </w:pPr>
            <w:r w:rsidRPr="00D974CD">
              <w:rPr>
                <w:rFonts w:ascii="Open Sans" w:hAnsi="Open Sans" w:cs="Open Sans"/>
                <w:b/>
                <w:bCs/>
                <w:color w:val="6E6E6E" w:themeColor="accent1" w:themeShade="80"/>
                <w:sz w:val="22"/>
                <w:szCs w:val="22"/>
                <w:lang w:val="en-GB"/>
              </w:rPr>
              <w:t xml:space="preserve">Baseline value </w:t>
            </w:r>
          </w:p>
        </w:tc>
        <w:tc>
          <w:tcPr>
            <w:tcW w:w="1170" w:type="dxa"/>
            <w:shd w:val="clear" w:color="auto" w:fill="707070" w:themeFill="accent3" w:themeFillShade="BF"/>
          </w:tcPr>
          <w:p w14:paraId="6F3F1C91" w14:textId="15B789F3" w:rsidR="00FC0241" w:rsidRPr="00D974CD" w:rsidRDefault="00FC0241" w:rsidP="00D01C1E">
            <w:pPr>
              <w:pStyle w:val="Default"/>
              <w:jc w:val="both"/>
              <w:rPr>
                <w:rFonts w:ascii="Open Sans" w:hAnsi="Open Sans" w:cs="Open Sans"/>
                <w:b/>
                <w:iCs/>
                <w:color w:val="6E6E6E" w:themeColor="accent1" w:themeShade="80"/>
                <w:sz w:val="22"/>
                <w:szCs w:val="22"/>
                <w:lang w:val="en-GB"/>
              </w:rPr>
            </w:pPr>
            <w:r w:rsidRPr="00D974CD">
              <w:rPr>
                <w:rFonts w:ascii="Open Sans" w:hAnsi="Open Sans" w:cs="Open Sans"/>
                <w:b/>
                <w:bCs/>
                <w:color w:val="6E6E6E" w:themeColor="accent1" w:themeShade="80"/>
                <w:sz w:val="22"/>
                <w:szCs w:val="22"/>
                <w:lang w:val="en-GB"/>
              </w:rPr>
              <w:t xml:space="preserve">Baseline year </w:t>
            </w:r>
          </w:p>
        </w:tc>
        <w:tc>
          <w:tcPr>
            <w:tcW w:w="990" w:type="dxa"/>
            <w:shd w:val="clear" w:color="auto" w:fill="707070" w:themeFill="accent3" w:themeFillShade="BF"/>
          </w:tcPr>
          <w:p w14:paraId="6337E5FA" w14:textId="63835EB4" w:rsidR="00FC0241" w:rsidRPr="006A5A2C" w:rsidRDefault="00FC0241" w:rsidP="00D01C1E">
            <w:pPr>
              <w:pStyle w:val="Default"/>
              <w:jc w:val="both"/>
              <w:rPr>
                <w:rFonts w:ascii="Open Sans" w:hAnsi="Open Sans" w:cs="Open Sans"/>
                <w:b/>
                <w:bCs/>
                <w:color w:val="6E6E6E" w:themeColor="accent1" w:themeShade="80"/>
                <w:sz w:val="22"/>
                <w:szCs w:val="22"/>
                <w:lang w:val="en-GB"/>
              </w:rPr>
            </w:pPr>
            <w:r w:rsidRPr="00D974CD">
              <w:rPr>
                <w:rFonts w:ascii="Open Sans" w:hAnsi="Open Sans" w:cs="Open Sans"/>
                <w:b/>
                <w:bCs/>
                <w:color w:val="6E6E6E" w:themeColor="accent1" w:themeShade="80"/>
                <w:sz w:val="22"/>
                <w:szCs w:val="22"/>
                <w:lang w:val="en-GB"/>
              </w:rPr>
              <w:t xml:space="preserve">Target value (2023) </w:t>
            </w:r>
          </w:p>
        </w:tc>
        <w:tc>
          <w:tcPr>
            <w:tcW w:w="1800" w:type="dxa"/>
            <w:shd w:val="clear" w:color="auto" w:fill="707070" w:themeFill="accent3" w:themeFillShade="BF"/>
          </w:tcPr>
          <w:p w14:paraId="727E9909" w14:textId="0B918C26" w:rsidR="00FC0241" w:rsidRPr="00D974CD" w:rsidRDefault="00FC0241" w:rsidP="00D01C1E">
            <w:pPr>
              <w:pStyle w:val="Default"/>
              <w:jc w:val="both"/>
              <w:rPr>
                <w:rFonts w:ascii="Open Sans" w:hAnsi="Open Sans" w:cs="Open Sans"/>
                <w:b/>
                <w:iCs/>
                <w:color w:val="6E6E6E" w:themeColor="accent1" w:themeShade="80"/>
                <w:sz w:val="22"/>
                <w:szCs w:val="22"/>
                <w:lang w:val="en-GB"/>
              </w:rPr>
            </w:pPr>
            <w:r w:rsidRPr="00D974CD">
              <w:rPr>
                <w:rFonts w:ascii="Open Sans" w:hAnsi="Open Sans" w:cs="Open Sans"/>
                <w:b/>
                <w:bCs/>
                <w:color w:val="6E6E6E" w:themeColor="accent1" w:themeShade="80"/>
                <w:sz w:val="22"/>
                <w:szCs w:val="22"/>
                <w:lang w:val="en-GB"/>
              </w:rPr>
              <w:t xml:space="preserve">Source of data </w:t>
            </w:r>
          </w:p>
        </w:tc>
        <w:tc>
          <w:tcPr>
            <w:tcW w:w="1530" w:type="dxa"/>
            <w:shd w:val="clear" w:color="auto" w:fill="707070" w:themeFill="accent3" w:themeFillShade="BF"/>
          </w:tcPr>
          <w:p w14:paraId="6FFBB3DD" w14:textId="77777777" w:rsidR="00560722" w:rsidRPr="00D974CD" w:rsidRDefault="00FC0241" w:rsidP="00D01C1E">
            <w:pPr>
              <w:pStyle w:val="Default"/>
              <w:jc w:val="both"/>
              <w:rPr>
                <w:rFonts w:ascii="Open Sans" w:hAnsi="Open Sans" w:cs="Open Sans"/>
                <w:b/>
                <w:bCs/>
                <w:color w:val="6E6E6E" w:themeColor="accent1" w:themeShade="80"/>
                <w:sz w:val="22"/>
                <w:szCs w:val="22"/>
                <w:lang w:val="en-GB"/>
              </w:rPr>
            </w:pPr>
            <w:r w:rsidRPr="00D974CD">
              <w:rPr>
                <w:rFonts w:ascii="Open Sans" w:hAnsi="Open Sans" w:cs="Open Sans"/>
                <w:b/>
                <w:bCs/>
                <w:color w:val="6E6E6E" w:themeColor="accent1" w:themeShade="80"/>
                <w:sz w:val="22"/>
                <w:szCs w:val="22"/>
                <w:lang w:val="en-GB"/>
              </w:rPr>
              <w:t xml:space="preserve">Frequency </w:t>
            </w:r>
          </w:p>
          <w:p w14:paraId="7DC1D9B7" w14:textId="1FE180BF" w:rsidR="00FC0241" w:rsidRPr="00D974CD" w:rsidRDefault="00560722" w:rsidP="00D01C1E">
            <w:pPr>
              <w:pStyle w:val="Default"/>
              <w:jc w:val="both"/>
              <w:rPr>
                <w:rFonts w:ascii="Open Sans" w:hAnsi="Open Sans" w:cs="Open Sans"/>
                <w:b/>
                <w:iCs/>
                <w:color w:val="6E6E6E" w:themeColor="accent1" w:themeShade="80"/>
                <w:sz w:val="22"/>
                <w:szCs w:val="22"/>
                <w:lang w:val="en-GB"/>
              </w:rPr>
            </w:pPr>
            <w:r w:rsidRPr="00D974CD">
              <w:rPr>
                <w:rFonts w:ascii="Open Sans" w:hAnsi="Open Sans" w:cs="Open Sans"/>
                <w:b/>
                <w:bCs/>
                <w:color w:val="6E6E6E" w:themeColor="accent1" w:themeShade="80"/>
                <w:sz w:val="22"/>
                <w:szCs w:val="22"/>
                <w:lang w:val="en-GB"/>
              </w:rPr>
              <w:t xml:space="preserve">     </w:t>
            </w:r>
            <w:r w:rsidR="00FC0241" w:rsidRPr="00D974CD">
              <w:rPr>
                <w:rFonts w:ascii="Open Sans" w:hAnsi="Open Sans" w:cs="Open Sans"/>
                <w:b/>
                <w:bCs/>
                <w:color w:val="6E6E6E" w:themeColor="accent1" w:themeShade="80"/>
                <w:sz w:val="22"/>
                <w:szCs w:val="22"/>
                <w:lang w:val="en-GB"/>
              </w:rPr>
              <w:t xml:space="preserve">of reporting </w:t>
            </w:r>
          </w:p>
        </w:tc>
      </w:tr>
      <w:tr w:rsidR="00D974CD" w:rsidRPr="00D974CD" w14:paraId="754FD696" w14:textId="77777777" w:rsidTr="000D504A">
        <w:tc>
          <w:tcPr>
            <w:tcW w:w="1668" w:type="dxa"/>
          </w:tcPr>
          <w:p w14:paraId="37444AFB" w14:textId="44F3F2D6" w:rsidR="00FC0241" w:rsidRPr="00D974CD" w:rsidRDefault="00C378A0" w:rsidP="00C378A0">
            <w:pPr>
              <w:pStyle w:val="Default"/>
              <w:jc w:val="both"/>
              <w:rPr>
                <w:rFonts w:ascii="Open Sans" w:hAnsi="Open Sans" w:cs="Open Sans"/>
                <w:b/>
                <w:iCs/>
                <w:color w:val="6E6E6E" w:themeColor="accent1" w:themeShade="80"/>
                <w:sz w:val="22"/>
                <w:szCs w:val="22"/>
                <w:lang w:val="en-GB"/>
              </w:rPr>
            </w:pPr>
            <w:r w:rsidRPr="00D974CD">
              <w:rPr>
                <w:rFonts w:ascii="Open Sans" w:hAnsi="Open Sans" w:cs="Open Sans"/>
                <w:color w:val="6E6E6E" w:themeColor="accent1" w:themeShade="80"/>
                <w:sz w:val="22"/>
                <w:szCs w:val="22"/>
                <w:lang w:val="en-GB"/>
              </w:rPr>
              <w:t>Water quality (ecological condition) of cross-border rivers at the measurement points in the eligible area</w:t>
            </w:r>
            <w:r w:rsidR="00FC0241" w:rsidRPr="00D974CD">
              <w:rPr>
                <w:rFonts w:ascii="Open Sans" w:hAnsi="Open Sans" w:cs="Open Sans"/>
                <w:color w:val="6E6E6E" w:themeColor="accent1" w:themeShade="80"/>
                <w:sz w:val="22"/>
                <w:szCs w:val="22"/>
                <w:lang w:val="en-GB"/>
              </w:rPr>
              <w:t xml:space="preserve"> </w:t>
            </w:r>
          </w:p>
        </w:tc>
        <w:tc>
          <w:tcPr>
            <w:tcW w:w="1410" w:type="dxa"/>
          </w:tcPr>
          <w:p w14:paraId="51FD5773" w14:textId="27D290DC" w:rsidR="00FC0241" w:rsidRPr="00D974CD" w:rsidRDefault="00C378A0" w:rsidP="00D01C1E">
            <w:pPr>
              <w:pStyle w:val="Default"/>
              <w:jc w:val="both"/>
              <w:rPr>
                <w:rFonts w:ascii="Open Sans" w:hAnsi="Open Sans" w:cs="Open Sans"/>
                <w:b/>
                <w:iCs/>
                <w:color w:val="6E6E6E" w:themeColor="accent1" w:themeShade="80"/>
                <w:sz w:val="22"/>
                <w:szCs w:val="22"/>
                <w:lang w:val="en-GB"/>
              </w:rPr>
            </w:pPr>
            <w:r w:rsidRPr="00D974CD">
              <w:rPr>
                <w:rFonts w:ascii="Open Sans" w:hAnsi="Open Sans" w:cs="Open Sans"/>
                <w:color w:val="6E6E6E" w:themeColor="accent1" w:themeShade="80"/>
                <w:sz w:val="22"/>
                <w:szCs w:val="22"/>
                <w:lang w:val="en-GB"/>
              </w:rPr>
              <w:t>Weighted average ecological quality (average, no unit) at the measure</w:t>
            </w:r>
            <w:r w:rsidR="00D974CD">
              <w:rPr>
                <w:rFonts w:ascii="Open Sans" w:hAnsi="Open Sans" w:cs="Open Sans"/>
                <w:color w:val="6E6E6E" w:themeColor="accent1" w:themeShade="80"/>
                <w:sz w:val="22"/>
                <w:szCs w:val="22"/>
                <w:lang w:val="en-GB"/>
              </w:rPr>
              <w:t>-</w:t>
            </w:r>
            <w:proofErr w:type="spellStart"/>
            <w:r w:rsidRPr="00D974CD">
              <w:rPr>
                <w:rFonts w:ascii="Open Sans" w:hAnsi="Open Sans" w:cs="Open Sans"/>
                <w:color w:val="6E6E6E" w:themeColor="accent1" w:themeShade="80"/>
                <w:sz w:val="22"/>
                <w:szCs w:val="22"/>
                <w:lang w:val="en-GB"/>
              </w:rPr>
              <w:t>ment</w:t>
            </w:r>
            <w:proofErr w:type="spellEnd"/>
            <w:r w:rsidRPr="00D974CD">
              <w:rPr>
                <w:rFonts w:ascii="Open Sans" w:hAnsi="Open Sans" w:cs="Open Sans"/>
                <w:color w:val="6E6E6E" w:themeColor="accent1" w:themeShade="80"/>
                <w:sz w:val="22"/>
                <w:szCs w:val="22"/>
                <w:lang w:val="en-GB"/>
              </w:rPr>
              <w:t xml:space="preserve"> points in the eligible area</w:t>
            </w:r>
          </w:p>
        </w:tc>
        <w:tc>
          <w:tcPr>
            <w:tcW w:w="1260" w:type="dxa"/>
          </w:tcPr>
          <w:p w14:paraId="7F10AF90" w14:textId="0673EB83" w:rsidR="00FC0241" w:rsidRPr="00D974CD" w:rsidRDefault="00C378A0" w:rsidP="00C378A0">
            <w:pPr>
              <w:pStyle w:val="Default"/>
              <w:jc w:val="center"/>
              <w:rPr>
                <w:rFonts w:ascii="Open Sans" w:hAnsi="Open Sans" w:cs="Open Sans"/>
                <w:b/>
                <w:iCs/>
                <w:color w:val="6E6E6E" w:themeColor="accent1" w:themeShade="80"/>
                <w:sz w:val="22"/>
                <w:szCs w:val="22"/>
                <w:lang w:val="en-GB"/>
              </w:rPr>
            </w:pPr>
            <w:r w:rsidRPr="00D974CD">
              <w:rPr>
                <w:rFonts w:ascii="Open Sans" w:hAnsi="Open Sans" w:cs="Open Sans"/>
                <w:color w:val="6E6E6E" w:themeColor="accent1" w:themeShade="80"/>
                <w:sz w:val="22"/>
                <w:szCs w:val="22"/>
                <w:lang w:val="en-GB"/>
              </w:rPr>
              <w:t>2.4</w:t>
            </w:r>
          </w:p>
        </w:tc>
        <w:tc>
          <w:tcPr>
            <w:tcW w:w="1170" w:type="dxa"/>
          </w:tcPr>
          <w:p w14:paraId="3E2C30E2" w14:textId="563CBA58" w:rsidR="00FC0241" w:rsidRPr="00D974CD" w:rsidRDefault="00FC0241" w:rsidP="0064491E">
            <w:pPr>
              <w:pStyle w:val="Default"/>
              <w:jc w:val="center"/>
              <w:rPr>
                <w:rFonts w:ascii="Open Sans" w:hAnsi="Open Sans" w:cs="Open Sans"/>
                <w:b/>
                <w:iCs/>
                <w:color w:val="6E6E6E" w:themeColor="accent1" w:themeShade="80"/>
                <w:sz w:val="22"/>
                <w:szCs w:val="22"/>
                <w:lang w:val="en-GB"/>
              </w:rPr>
            </w:pPr>
            <w:r w:rsidRPr="00D974CD">
              <w:rPr>
                <w:rFonts w:ascii="Open Sans" w:hAnsi="Open Sans" w:cs="Open Sans"/>
                <w:color w:val="6E6E6E" w:themeColor="accent1" w:themeShade="80"/>
                <w:sz w:val="22"/>
                <w:szCs w:val="22"/>
                <w:lang w:val="en-GB"/>
              </w:rPr>
              <w:t>2013</w:t>
            </w:r>
          </w:p>
        </w:tc>
        <w:tc>
          <w:tcPr>
            <w:tcW w:w="990" w:type="dxa"/>
          </w:tcPr>
          <w:p w14:paraId="405C1476" w14:textId="3E6A30C7" w:rsidR="00FC0241" w:rsidRPr="00D974CD" w:rsidRDefault="00C378A0" w:rsidP="00C378A0">
            <w:pPr>
              <w:pStyle w:val="Default"/>
              <w:jc w:val="center"/>
              <w:rPr>
                <w:rFonts w:ascii="Open Sans" w:hAnsi="Open Sans" w:cs="Open Sans"/>
                <w:b/>
                <w:iCs/>
                <w:color w:val="6E6E6E" w:themeColor="accent1" w:themeShade="80"/>
                <w:sz w:val="22"/>
                <w:szCs w:val="22"/>
                <w:lang w:val="en-GB"/>
              </w:rPr>
            </w:pPr>
            <w:r w:rsidRPr="00D974CD">
              <w:rPr>
                <w:rFonts w:ascii="Open Sans" w:hAnsi="Open Sans" w:cs="Open Sans"/>
                <w:color w:val="6E6E6E" w:themeColor="accent1" w:themeShade="80"/>
                <w:sz w:val="22"/>
                <w:szCs w:val="22"/>
                <w:lang w:val="en-GB"/>
              </w:rPr>
              <w:t>2.2</w:t>
            </w:r>
          </w:p>
        </w:tc>
        <w:tc>
          <w:tcPr>
            <w:tcW w:w="1800" w:type="dxa"/>
          </w:tcPr>
          <w:p w14:paraId="2789BBD9" w14:textId="3DB92D9F" w:rsidR="00FC0241" w:rsidRPr="00D974CD" w:rsidRDefault="00C378A0" w:rsidP="00D01C1E">
            <w:pPr>
              <w:pStyle w:val="Default"/>
              <w:jc w:val="both"/>
              <w:rPr>
                <w:rFonts w:ascii="Open Sans" w:hAnsi="Open Sans" w:cs="Open Sans"/>
                <w:b/>
                <w:iCs/>
                <w:color w:val="6E6E6E" w:themeColor="accent1" w:themeShade="80"/>
                <w:sz w:val="22"/>
                <w:szCs w:val="22"/>
                <w:lang w:val="en-GB"/>
              </w:rPr>
            </w:pPr>
            <w:r w:rsidRPr="00D974CD">
              <w:rPr>
                <w:rFonts w:ascii="Open Sans" w:hAnsi="Open Sans" w:cs="Open Sans"/>
                <w:color w:val="6E6E6E" w:themeColor="accent1" w:themeShade="80"/>
                <w:sz w:val="22"/>
                <w:szCs w:val="22"/>
                <w:lang w:val="en-GB"/>
              </w:rPr>
              <w:t>National Environmental Authorities / National Environmental Protection Agencies / Romanian Waters National Administration</w:t>
            </w:r>
          </w:p>
        </w:tc>
        <w:tc>
          <w:tcPr>
            <w:tcW w:w="1530" w:type="dxa"/>
          </w:tcPr>
          <w:p w14:paraId="45B48145" w14:textId="2F96BF3C" w:rsidR="00560722" w:rsidRPr="00D974CD" w:rsidRDefault="00FC0241" w:rsidP="00D974CD">
            <w:pPr>
              <w:pStyle w:val="Default"/>
              <w:jc w:val="center"/>
              <w:rPr>
                <w:rFonts w:ascii="Open Sans" w:hAnsi="Open Sans" w:cs="Open Sans"/>
                <w:color w:val="6E6E6E" w:themeColor="accent1" w:themeShade="80"/>
                <w:sz w:val="22"/>
                <w:szCs w:val="22"/>
                <w:lang w:val="en-GB"/>
              </w:rPr>
            </w:pPr>
            <w:r w:rsidRPr="00D974CD">
              <w:rPr>
                <w:rFonts w:ascii="Open Sans" w:hAnsi="Open Sans" w:cs="Open Sans"/>
                <w:color w:val="6E6E6E" w:themeColor="accent1" w:themeShade="80"/>
                <w:sz w:val="22"/>
                <w:szCs w:val="22"/>
                <w:lang w:val="en-GB"/>
              </w:rPr>
              <w:t>2019,</w:t>
            </w:r>
          </w:p>
          <w:p w14:paraId="390EA454" w14:textId="77777777" w:rsidR="00D974CD" w:rsidRDefault="00FC0241" w:rsidP="00D974CD">
            <w:pPr>
              <w:pStyle w:val="Default"/>
              <w:jc w:val="center"/>
              <w:rPr>
                <w:rFonts w:ascii="Open Sans" w:hAnsi="Open Sans" w:cs="Open Sans"/>
                <w:color w:val="6E6E6E" w:themeColor="accent1" w:themeShade="80"/>
                <w:sz w:val="22"/>
                <w:szCs w:val="22"/>
                <w:lang w:val="en-GB"/>
              </w:rPr>
            </w:pPr>
            <w:r w:rsidRPr="00D974CD">
              <w:rPr>
                <w:rFonts w:ascii="Open Sans" w:hAnsi="Open Sans" w:cs="Open Sans"/>
                <w:color w:val="6E6E6E" w:themeColor="accent1" w:themeShade="80"/>
                <w:sz w:val="22"/>
                <w:szCs w:val="22"/>
                <w:lang w:val="en-GB"/>
              </w:rPr>
              <w:t>2021,</w:t>
            </w:r>
          </w:p>
          <w:p w14:paraId="69F84A86" w14:textId="45332E5A" w:rsidR="00FC0241" w:rsidRPr="00D974CD" w:rsidRDefault="00FC0241" w:rsidP="00D974CD">
            <w:pPr>
              <w:pStyle w:val="Default"/>
              <w:jc w:val="center"/>
              <w:rPr>
                <w:rFonts w:ascii="Open Sans" w:hAnsi="Open Sans" w:cs="Open Sans"/>
                <w:color w:val="6E6E6E" w:themeColor="accent1" w:themeShade="80"/>
                <w:sz w:val="22"/>
                <w:szCs w:val="22"/>
                <w:lang w:val="en-GB"/>
              </w:rPr>
            </w:pPr>
            <w:r w:rsidRPr="00D974CD">
              <w:rPr>
                <w:rFonts w:ascii="Open Sans" w:hAnsi="Open Sans" w:cs="Open Sans"/>
                <w:color w:val="6E6E6E" w:themeColor="accent1" w:themeShade="80"/>
                <w:sz w:val="22"/>
                <w:szCs w:val="22"/>
                <w:lang w:val="en-GB"/>
              </w:rPr>
              <w:t>2023</w:t>
            </w:r>
          </w:p>
        </w:tc>
      </w:tr>
    </w:tbl>
    <w:p w14:paraId="65791479" w14:textId="396836B1" w:rsidR="00D01C1E" w:rsidRPr="00D974CD" w:rsidRDefault="00D974CD" w:rsidP="00D974CD">
      <w:pPr>
        <w:pStyle w:val="Default"/>
        <w:spacing w:before="120" w:after="120" w:line="276" w:lineRule="auto"/>
        <w:jc w:val="both"/>
        <w:rPr>
          <w:rFonts w:ascii="Open Sans" w:hAnsi="Open Sans" w:cs="Open Sans"/>
          <w:b/>
          <w:iCs/>
          <w:color w:val="6E6E6E" w:themeColor="accent1" w:themeShade="80"/>
          <w:sz w:val="22"/>
          <w:szCs w:val="22"/>
          <w:lang w:val="en-GB"/>
        </w:rPr>
      </w:pPr>
      <w:r>
        <w:rPr>
          <w:rFonts w:ascii="Open Sans" w:hAnsi="Open Sans" w:cs="Open Sans"/>
          <w:b/>
          <w:iCs/>
          <w:color w:val="6E6E6E" w:themeColor="accent1" w:themeShade="80"/>
          <w:sz w:val="22"/>
          <w:szCs w:val="22"/>
          <w:lang w:val="en-GB"/>
        </w:rPr>
        <w:t>Definition:</w:t>
      </w:r>
    </w:p>
    <w:p w14:paraId="1D6EA5ED" w14:textId="617E551C" w:rsidR="00D01C1E" w:rsidRPr="00D974CD" w:rsidRDefault="004C7914" w:rsidP="008815BE">
      <w:pPr>
        <w:pStyle w:val="Default"/>
        <w:jc w:val="both"/>
        <w:rPr>
          <w:rFonts w:ascii="Open Sans" w:hAnsi="Open Sans" w:cs="Open Sans"/>
          <w:color w:val="6E6E6E" w:themeColor="accent1" w:themeShade="80"/>
          <w:sz w:val="22"/>
          <w:szCs w:val="22"/>
          <w:lang w:val="en-GB"/>
        </w:rPr>
      </w:pPr>
      <w:r w:rsidRPr="00D974CD">
        <w:rPr>
          <w:rFonts w:ascii="Open Sans" w:hAnsi="Open Sans" w:cs="Open Sans"/>
          <w:color w:val="6E6E6E" w:themeColor="accent1" w:themeShade="80"/>
          <w:sz w:val="22"/>
          <w:szCs w:val="22"/>
          <w:lang w:val="en-GB"/>
        </w:rPr>
        <w:t xml:space="preserve">Weighted average </w:t>
      </w:r>
      <w:r w:rsidRPr="00D974CD">
        <w:rPr>
          <w:rFonts w:ascii="Open Sans" w:hAnsi="Open Sans" w:cs="Open Sans"/>
          <w:b/>
          <w:color w:val="6E6E6E" w:themeColor="accent1" w:themeShade="80"/>
          <w:sz w:val="22"/>
          <w:szCs w:val="22"/>
          <w:lang w:val="en-GB"/>
        </w:rPr>
        <w:t>water quality</w:t>
      </w:r>
      <w:r w:rsidRPr="00D974CD">
        <w:rPr>
          <w:rFonts w:ascii="Open Sans" w:hAnsi="Open Sans" w:cs="Open Sans"/>
          <w:color w:val="6E6E6E" w:themeColor="accent1" w:themeShade="80"/>
          <w:sz w:val="22"/>
          <w:szCs w:val="22"/>
          <w:lang w:val="en-GB"/>
        </w:rPr>
        <w:t xml:space="preserve"> (ecological condition) at the measurement points in the eligible area on rivers and water flows crossing the border, based on database measuring the ecological condition of cross-border </w:t>
      </w:r>
      <w:proofErr w:type="gramStart"/>
      <w:r w:rsidRPr="00D974CD">
        <w:rPr>
          <w:rFonts w:ascii="Open Sans" w:hAnsi="Open Sans" w:cs="Open Sans"/>
          <w:color w:val="6E6E6E" w:themeColor="accent1" w:themeShade="80"/>
          <w:sz w:val="22"/>
          <w:szCs w:val="22"/>
          <w:lang w:val="en-GB"/>
        </w:rPr>
        <w:t>rivers</w:t>
      </w:r>
      <w:proofErr w:type="gramEnd"/>
      <w:r w:rsidRPr="00D974CD">
        <w:rPr>
          <w:rFonts w:ascii="Open Sans" w:hAnsi="Open Sans" w:cs="Open Sans"/>
          <w:color w:val="6E6E6E" w:themeColor="accent1" w:themeShade="80"/>
          <w:sz w:val="22"/>
          <w:szCs w:val="22"/>
          <w:lang w:val="en-GB"/>
        </w:rPr>
        <w:t xml:space="preserve"> in the eligible area. The weighting factor is the number of measurement points falling in the respective class.</w:t>
      </w:r>
      <w:r w:rsidR="00D01C1E" w:rsidRPr="00D974CD">
        <w:rPr>
          <w:rFonts w:ascii="Open Sans" w:hAnsi="Open Sans" w:cs="Open Sans"/>
          <w:color w:val="6E6E6E" w:themeColor="accent1" w:themeShade="80"/>
          <w:sz w:val="22"/>
          <w:szCs w:val="22"/>
          <w:lang w:val="en-GB"/>
        </w:rPr>
        <w:t xml:space="preserve"> </w:t>
      </w:r>
    </w:p>
    <w:p w14:paraId="4B7332BF" w14:textId="4693F1CE" w:rsidR="00D01C1E" w:rsidRPr="00D974CD" w:rsidRDefault="00D01C1E" w:rsidP="00D974CD">
      <w:pPr>
        <w:pStyle w:val="Default"/>
        <w:spacing w:before="120" w:after="120" w:line="276" w:lineRule="auto"/>
        <w:jc w:val="both"/>
        <w:rPr>
          <w:rFonts w:ascii="Open Sans" w:hAnsi="Open Sans" w:cs="Open Sans"/>
          <w:b/>
          <w:iCs/>
          <w:color w:val="6E6E6E" w:themeColor="accent1" w:themeShade="80"/>
          <w:sz w:val="22"/>
          <w:szCs w:val="22"/>
          <w:lang w:val="en-GB"/>
        </w:rPr>
      </w:pPr>
      <w:r w:rsidRPr="00D974CD">
        <w:rPr>
          <w:rFonts w:ascii="Open Sans" w:hAnsi="Open Sans" w:cs="Open Sans"/>
          <w:b/>
          <w:iCs/>
          <w:color w:val="6E6E6E" w:themeColor="accent1" w:themeShade="80"/>
          <w:sz w:val="22"/>
          <w:szCs w:val="22"/>
          <w:lang w:val="en-GB"/>
        </w:rPr>
        <w:t>Relation to the specific objective and actions</w:t>
      </w:r>
      <w:r w:rsidR="00381DED" w:rsidRPr="00D974CD">
        <w:rPr>
          <w:rFonts w:ascii="Open Sans" w:hAnsi="Open Sans" w:cs="Open Sans"/>
          <w:b/>
          <w:iCs/>
          <w:color w:val="6E6E6E" w:themeColor="accent1" w:themeShade="80"/>
          <w:sz w:val="22"/>
          <w:szCs w:val="22"/>
          <w:lang w:val="en-GB"/>
        </w:rPr>
        <w:t>:</w:t>
      </w:r>
      <w:r w:rsidRPr="00D974CD">
        <w:rPr>
          <w:rFonts w:ascii="Open Sans" w:hAnsi="Open Sans" w:cs="Open Sans"/>
          <w:b/>
          <w:iCs/>
          <w:color w:val="6E6E6E" w:themeColor="accent1" w:themeShade="80"/>
          <w:sz w:val="22"/>
          <w:szCs w:val="22"/>
          <w:lang w:val="en-GB"/>
        </w:rPr>
        <w:t xml:space="preserve"> </w:t>
      </w:r>
    </w:p>
    <w:p w14:paraId="468AB10D" w14:textId="0AA1C6BC" w:rsidR="00104048" w:rsidRPr="00D974CD" w:rsidRDefault="00A03D5F" w:rsidP="00A03D5F">
      <w:pPr>
        <w:pStyle w:val="Default"/>
        <w:jc w:val="both"/>
        <w:rPr>
          <w:rFonts w:ascii="Open Sans" w:hAnsi="Open Sans" w:cs="Open Sans"/>
          <w:color w:val="6E6E6E" w:themeColor="accent1" w:themeShade="80"/>
          <w:sz w:val="22"/>
          <w:szCs w:val="22"/>
          <w:lang w:val="en-GB"/>
        </w:rPr>
      </w:pPr>
      <w:r w:rsidRPr="00D974CD">
        <w:rPr>
          <w:rFonts w:ascii="Open Sans" w:hAnsi="Open Sans" w:cs="Open Sans"/>
          <w:color w:val="6E6E6E" w:themeColor="accent1" w:themeShade="80"/>
          <w:sz w:val="22"/>
          <w:szCs w:val="22"/>
          <w:lang w:val="en-GB"/>
        </w:rPr>
        <w:t xml:space="preserve">The programme is aimed at improving the quality management of cross-border </w:t>
      </w:r>
      <w:proofErr w:type="gramStart"/>
      <w:r w:rsidRPr="00D974CD">
        <w:rPr>
          <w:rFonts w:ascii="Open Sans" w:hAnsi="Open Sans" w:cs="Open Sans"/>
          <w:color w:val="6E6E6E" w:themeColor="accent1" w:themeShade="80"/>
          <w:sz w:val="22"/>
          <w:szCs w:val="22"/>
          <w:lang w:val="en-GB"/>
        </w:rPr>
        <w:t>rivers</w:t>
      </w:r>
      <w:proofErr w:type="gramEnd"/>
      <w:r w:rsidRPr="00D974CD">
        <w:rPr>
          <w:rFonts w:ascii="Open Sans" w:hAnsi="Open Sans" w:cs="Open Sans"/>
          <w:color w:val="6E6E6E" w:themeColor="accent1" w:themeShade="80"/>
          <w:sz w:val="22"/>
          <w:szCs w:val="22"/>
          <w:lang w:val="en-GB"/>
        </w:rPr>
        <w:t xml:space="preserve"> and ground water bodies in the eligible area. The planned actions contribute to better coordination and implementation of the water management tasks. Better water management will result in improved water quality of water bodies. This objective is in line with the Water Framework Directive of EU aiming at reaching “good” ecological quality (at least the second best classification from 5 classes) in all rivers and water flows in the EU. The water management tasks will be implemented on the basis of the territorial water management strategies developed in harmony with the Water Framework Directive of the EU. The regional water management organisations measure the water quality of rivers and surface water bodies at the existing measurement points and provide reports about the results at least yearly. In the cross-border region, the ecological </w:t>
      </w:r>
      <w:r w:rsidR="002B28B1" w:rsidRPr="00D974CD">
        <w:rPr>
          <w:rFonts w:ascii="Open Sans" w:hAnsi="Open Sans" w:cs="Open Sans"/>
          <w:color w:val="6E6E6E" w:themeColor="accent1" w:themeShade="80"/>
          <w:sz w:val="22"/>
          <w:szCs w:val="22"/>
          <w:lang w:val="en-GB"/>
        </w:rPr>
        <w:t>conditions of the rivers are</w:t>
      </w:r>
      <w:r w:rsidRPr="00D974CD">
        <w:rPr>
          <w:rFonts w:ascii="Open Sans" w:hAnsi="Open Sans" w:cs="Open Sans"/>
          <w:color w:val="6E6E6E" w:themeColor="accent1" w:themeShade="80"/>
          <w:sz w:val="22"/>
          <w:szCs w:val="22"/>
          <w:lang w:val="en-GB"/>
        </w:rPr>
        <w:t xml:space="preserve"> measured in reliable way at the all relevant measurement points. The total value of the rivers and water flows can be quantified by the aggregation of quality values of individual measurement points weighted with the number of the points. </w:t>
      </w:r>
    </w:p>
    <w:p w14:paraId="62096B0E" w14:textId="7B51CE5E" w:rsidR="00104048" w:rsidRPr="000D504A" w:rsidRDefault="00104048" w:rsidP="000D504A">
      <w:pPr>
        <w:pStyle w:val="Default"/>
        <w:shd w:val="clear" w:color="auto" w:fill="707070" w:themeFill="accent3" w:themeFillShade="BF"/>
        <w:spacing w:before="120" w:after="120" w:line="276" w:lineRule="auto"/>
        <w:jc w:val="center"/>
        <w:rPr>
          <w:rFonts w:ascii="Open Sans" w:hAnsi="Open Sans" w:cs="Open Sans"/>
          <w:b/>
          <w:color w:val="6E6E6E" w:themeColor="accent1" w:themeShade="80"/>
          <w:sz w:val="22"/>
          <w:szCs w:val="22"/>
          <w:lang w:val="en-GB"/>
        </w:rPr>
      </w:pPr>
      <w:r w:rsidRPr="000D504A">
        <w:rPr>
          <w:rFonts w:ascii="Open Sans" w:hAnsi="Open Sans" w:cs="Open Sans"/>
          <w:b/>
          <w:color w:val="6E6E6E" w:themeColor="accent1" w:themeShade="80"/>
          <w:sz w:val="22"/>
          <w:szCs w:val="22"/>
          <w:lang w:val="en-GB"/>
        </w:rPr>
        <w:t>Given the limited funding available for this intervention and the character of this programme, the interventions focus on improving the quality of cross-border rivers, thus only the measurement points on cross-border rivers and flows are considered when the value of the indicator is measured.</w:t>
      </w:r>
    </w:p>
    <w:p w14:paraId="038F7C18" w14:textId="77777777" w:rsidR="00A03D5F" w:rsidRPr="00D974CD" w:rsidRDefault="00A03D5F" w:rsidP="00D974CD">
      <w:pPr>
        <w:pStyle w:val="Default"/>
        <w:spacing w:before="120" w:after="120" w:line="276" w:lineRule="auto"/>
        <w:jc w:val="both"/>
        <w:rPr>
          <w:rFonts w:ascii="Open Sans" w:hAnsi="Open Sans" w:cs="Open Sans"/>
          <w:color w:val="6E6E6E" w:themeColor="accent1" w:themeShade="80"/>
          <w:sz w:val="22"/>
          <w:szCs w:val="22"/>
          <w:lang w:val="en-GB"/>
        </w:rPr>
      </w:pPr>
      <w:r w:rsidRPr="00D974CD">
        <w:rPr>
          <w:rFonts w:ascii="Open Sans" w:hAnsi="Open Sans" w:cs="Open Sans"/>
          <w:color w:val="6E6E6E" w:themeColor="accent1" w:themeShade="80"/>
          <w:sz w:val="22"/>
          <w:szCs w:val="22"/>
          <w:lang w:val="en-GB"/>
        </w:rPr>
        <w:lastRenderedPageBreak/>
        <w:t>The output indicator is “number of measurement points positively affected by the interventions” (after the completion of the project). Positively affected means that the interventions delivered contribute to improving the ecological quality of the water measured at the given measurement point(s).</w:t>
      </w:r>
    </w:p>
    <w:p w14:paraId="32985DD1" w14:textId="77777777" w:rsidR="00A03D5F" w:rsidRPr="00D974CD" w:rsidRDefault="00A03D5F" w:rsidP="00D974CD">
      <w:pPr>
        <w:pStyle w:val="Default"/>
        <w:spacing w:before="120" w:after="120" w:line="276" w:lineRule="auto"/>
        <w:jc w:val="both"/>
        <w:rPr>
          <w:rFonts w:ascii="Open Sans" w:hAnsi="Open Sans" w:cs="Open Sans"/>
          <w:color w:val="6E6E6E" w:themeColor="accent1" w:themeShade="80"/>
          <w:sz w:val="22"/>
          <w:szCs w:val="22"/>
          <w:lang w:val="en-GB"/>
        </w:rPr>
      </w:pPr>
      <w:r w:rsidRPr="00D974CD">
        <w:rPr>
          <w:rFonts w:ascii="Open Sans" w:hAnsi="Open Sans" w:cs="Open Sans"/>
          <w:color w:val="6E6E6E" w:themeColor="accent1" w:themeShade="80"/>
          <w:sz w:val="22"/>
          <w:szCs w:val="22"/>
          <w:lang w:val="en-GB"/>
        </w:rPr>
        <w:t>The result indicator is highly affected also by external factors: the improvement of water quality can be achieved by interventions implemented outside the CBC programme; on the other hand, unexpected industrial hazards may suddenly deteriorate the quality status of major river sections.</w:t>
      </w:r>
    </w:p>
    <w:p w14:paraId="23325CB1" w14:textId="6E3D1C01" w:rsidR="002B3CDE" w:rsidRDefault="00A03D5F" w:rsidP="00D974CD">
      <w:pPr>
        <w:pStyle w:val="Default"/>
        <w:spacing w:before="120" w:after="120" w:line="276" w:lineRule="auto"/>
        <w:jc w:val="both"/>
        <w:rPr>
          <w:rFonts w:ascii="Open Sans" w:hAnsi="Open Sans" w:cs="Open Sans"/>
          <w:color w:val="6E6E6E" w:themeColor="accent1" w:themeShade="80"/>
          <w:sz w:val="22"/>
          <w:szCs w:val="22"/>
          <w:lang w:val="en-GB"/>
        </w:rPr>
      </w:pPr>
      <w:r w:rsidRPr="00D974CD">
        <w:rPr>
          <w:rFonts w:ascii="Open Sans" w:hAnsi="Open Sans" w:cs="Open Sans"/>
          <w:color w:val="6E6E6E" w:themeColor="accent1" w:themeShade="80"/>
          <w:sz w:val="22"/>
          <w:szCs w:val="22"/>
          <w:lang w:val="en-GB"/>
        </w:rPr>
        <w:t>PA5 intends to improve disaster management, and risk prevention and emergency response in the eligible area which can also contribute to reducing the likelihood of anthropic hazards. On the other hand, the better quality of the rivers and water flows contributes to improved touristic attractiveness of the natural values, natural parks of the eligible area which can be supported under the other specific objective of PA1.</w:t>
      </w:r>
    </w:p>
    <w:p w14:paraId="71C83DE7" w14:textId="77777777" w:rsidR="00B04EA1" w:rsidRPr="008D53BC" w:rsidRDefault="00B04EA1" w:rsidP="00B04EA1">
      <w:pPr>
        <w:pStyle w:val="ListParagraph"/>
        <w:shd w:val="clear" w:color="auto" w:fill="707070" w:themeFill="accent3" w:themeFillShade="BF"/>
        <w:spacing w:after="0"/>
        <w:ind w:left="0"/>
        <w:jc w:val="both"/>
        <w:rPr>
          <w:rFonts w:ascii="Open Sans" w:hAnsi="Open Sans" w:cs="Open Sans"/>
          <w:b/>
          <w:lang w:val="en-GB"/>
        </w:rPr>
      </w:pPr>
      <w:r w:rsidRPr="008D53BC">
        <w:rPr>
          <w:rFonts w:ascii="Open Sans" w:hAnsi="Open Sans" w:cs="Open Sans"/>
          <w:b/>
          <w:sz w:val="24"/>
          <w:szCs w:val="24"/>
          <w:lang w:val="en-GB"/>
        </w:rPr>
        <w:t xml:space="preserve">! </w:t>
      </w:r>
      <w:r w:rsidRPr="008D53BC">
        <w:rPr>
          <w:rFonts w:ascii="Open Sans" w:hAnsi="Open Sans" w:cs="Open Sans"/>
          <w:b/>
          <w:lang w:val="en-GB"/>
        </w:rPr>
        <w:t>Special attention to horizontal principles</w:t>
      </w:r>
    </w:p>
    <w:p w14:paraId="3FE68BA4" w14:textId="77777777" w:rsidR="00B04EA1" w:rsidRDefault="00B04EA1" w:rsidP="00B04EA1">
      <w:pPr>
        <w:autoSpaceDE w:val="0"/>
        <w:autoSpaceDN w:val="0"/>
        <w:adjustRightInd w:val="0"/>
        <w:spacing w:after="0" w:line="240" w:lineRule="auto"/>
        <w:rPr>
          <w:rFonts w:ascii="Open Sans" w:hAnsi="Open Sans" w:cs="Open Sans"/>
          <w:lang w:val="en-US"/>
        </w:rPr>
      </w:pPr>
    </w:p>
    <w:p w14:paraId="2FDB8745" w14:textId="77777777" w:rsidR="00B04EA1" w:rsidRPr="00B04EA1" w:rsidRDefault="00B04EA1" w:rsidP="00B04EA1">
      <w:pPr>
        <w:autoSpaceDE w:val="0"/>
        <w:autoSpaceDN w:val="0"/>
        <w:adjustRightInd w:val="0"/>
        <w:spacing w:after="0" w:line="240" w:lineRule="auto"/>
        <w:rPr>
          <w:rFonts w:ascii="Open Sans" w:hAnsi="Open Sans" w:cs="Open Sans"/>
          <w:lang w:val="en-US"/>
        </w:rPr>
      </w:pPr>
      <w:r w:rsidRPr="00B04EA1">
        <w:rPr>
          <w:rFonts w:ascii="Open Sans" w:hAnsi="Open Sans" w:cs="Open Sans"/>
          <w:lang w:val="en-US"/>
        </w:rPr>
        <w:t xml:space="preserve">For the selection of projects under </w:t>
      </w:r>
      <w:proofErr w:type="spellStart"/>
      <w:r w:rsidRPr="00B04EA1">
        <w:rPr>
          <w:rFonts w:ascii="Open Sans" w:hAnsi="Open Sans" w:cs="Open Sans"/>
          <w:lang w:val="en-US"/>
        </w:rPr>
        <w:t>Ip</w:t>
      </w:r>
      <w:proofErr w:type="spellEnd"/>
      <w:r w:rsidRPr="00B04EA1">
        <w:rPr>
          <w:rFonts w:ascii="Open Sans" w:hAnsi="Open Sans" w:cs="Open Sans"/>
          <w:lang w:val="en-US"/>
        </w:rPr>
        <w:t xml:space="preserve"> 6b, the following principles will also be taken into account:</w:t>
      </w:r>
    </w:p>
    <w:p w14:paraId="13E121E9" w14:textId="089F285D" w:rsidR="00B04EA1" w:rsidRPr="00B04EA1" w:rsidRDefault="00B04EA1" w:rsidP="00B04EA1">
      <w:pPr>
        <w:pStyle w:val="ListParagraph"/>
        <w:numPr>
          <w:ilvl w:val="0"/>
          <w:numId w:val="71"/>
        </w:numPr>
        <w:autoSpaceDE w:val="0"/>
        <w:autoSpaceDN w:val="0"/>
        <w:adjustRightInd w:val="0"/>
        <w:spacing w:after="0" w:line="240" w:lineRule="auto"/>
        <w:rPr>
          <w:rFonts w:ascii="Open Sans" w:hAnsi="Open Sans" w:cs="Open Sans"/>
          <w:lang w:val="en-US"/>
        </w:rPr>
      </w:pPr>
      <w:r w:rsidRPr="00B04EA1">
        <w:rPr>
          <w:rFonts w:ascii="Open Sans" w:hAnsi="Open Sans" w:cs="Open Sans"/>
          <w:lang w:val="en-US"/>
        </w:rPr>
        <w:t>Increased use of sustainable procurement (green public procurement),</w:t>
      </w:r>
    </w:p>
    <w:p w14:paraId="3EDE91D4" w14:textId="2CC13F0B" w:rsidR="00B04EA1" w:rsidRPr="00B04EA1" w:rsidRDefault="00B04EA1" w:rsidP="00B04EA1">
      <w:pPr>
        <w:pStyle w:val="ListParagraph"/>
        <w:numPr>
          <w:ilvl w:val="0"/>
          <w:numId w:val="71"/>
        </w:numPr>
        <w:autoSpaceDE w:val="0"/>
        <w:autoSpaceDN w:val="0"/>
        <w:adjustRightInd w:val="0"/>
        <w:spacing w:after="0" w:line="240" w:lineRule="auto"/>
        <w:rPr>
          <w:rFonts w:ascii="Open Sans" w:hAnsi="Open Sans" w:cs="Open Sans"/>
          <w:lang w:val="en-US"/>
        </w:rPr>
      </w:pPr>
      <w:r w:rsidRPr="00B04EA1">
        <w:rPr>
          <w:rFonts w:ascii="Open Sans" w:hAnsi="Open Sans" w:cs="Open Sans"/>
          <w:lang w:val="en-US"/>
        </w:rPr>
        <w:t>Consideration of life cycle costs of investment options for long term perspective,</w:t>
      </w:r>
    </w:p>
    <w:p w14:paraId="2D518A45" w14:textId="75C9203C" w:rsidR="00B04EA1" w:rsidRPr="00B0614B" w:rsidRDefault="00B04EA1" w:rsidP="00B04EA1">
      <w:pPr>
        <w:pStyle w:val="Default"/>
        <w:numPr>
          <w:ilvl w:val="0"/>
          <w:numId w:val="71"/>
        </w:numPr>
        <w:spacing w:before="120" w:after="120" w:line="276" w:lineRule="auto"/>
        <w:jc w:val="both"/>
        <w:rPr>
          <w:rFonts w:ascii="Open Sans" w:hAnsi="Open Sans" w:cs="Open Sans"/>
          <w:color w:val="6E6E6E" w:themeColor="accent1" w:themeShade="80"/>
          <w:sz w:val="22"/>
          <w:szCs w:val="22"/>
          <w:lang w:val="en-GB"/>
        </w:rPr>
      </w:pPr>
      <w:r w:rsidRPr="00B04EA1">
        <w:rPr>
          <w:rFonts w:ascii="Open Sans" w:hAnsi="Open Sans" w:cs="Open Sans"/>
          <w:sz w:val="22"/>
          <w:szCs w:val="22"/>
        </w:rPr>
        <w:t>Usage of green infrastructure.</w:t>
      </w:r>
    </w:p>
    <w:p w14:paraId="409583D0" w14:textId="2DFEA463" w:rsidR="000D504A" w:rsidRPr="00822F98" w:rsidRDefault="000D504A" w:rsidP="000D504A">
      <w:pPr>
        <w:pStyle w:val="ListParagraph"/>
        <w:ind w:left="0"/>
        <w:contextualSpacing w:val="0"/>
        <w:jc w:val="both"/>
        <w:rPr>
          <w:rFonts w:ascii="Trebuchet MS" w:hAnsi="Trebuchet MS" w:cs="Arial"/>
          <w:lang w:val="en-GB"/>
        </w:rPr>
      </w:pPr>
      <w:r>
        <w:rPr>
          <w:rFonts w:ascii="Open Sans" w:hAnsi="Open Sans" w:cs="Open Sans"/>
          <w:lang w:val="en-GB"/>
        </w:rPr>
        <w:t xml:space="preserve">Also, a </w:t>
      </w:r>
      <w:r>
        <w:rPr>
          <w:rFonts w:ascii="Trebuchet MS" w:hAnsi="Trebuchet MS" w:cs="Arial"/>
          <w:lang w:val="en-GB"/>
        </w:rPr>
        <w:t>s</w:t>
      </w:r>
      <w:r w:rsidRPr="00822F98">
        <w:rPr>
          <w:rFonts w:ascii="Trebuchet MS" w:hAnsi="Trebuchet MS" w:cs="Arial"/>
          <w:lang w:val="en-GB"/>
        </w:rPr>
        <w:t xml:space="preserve">pecial attention is needed under </w:t>
      </w:r>
      <w:proofErr w:type="spellStart"/>
      <w:r w:rsidRPr="00822F98">
        <w:rPr>
          <w:rFonts w:ascii="Trebuchet MS" w:hAnsi="Trebuchet MS" w:cs="Arial"/>
          <w:lang w:val="en-GB"/>
        </w:rPr>
        <w:t>Ip</w:t>
      </w:r>
      <w:proofErr w:type="spellEnd"/>
      <w:r w:rsidRPr="00822F98">
        <w:rPr>
          <w:rFonts w:ascii="Trebuchet MS" w:hAnsi="Trebuchet MS" w:cs="Arial"/>
          <w:lang w:val="en-GB"/>
        </w:rPr>
        <w:t xml:space="preserve"> 6/b, regarding the sustainable development (please see chapter 8 of </w:t>
      </w:r>
      <w:proofErr w:type="spellStart"/>
      <w:r w:rsidRPr="00822F98">
        <w:rPr>
          <w:rFonts w:ascii="Trebuchet MS" w:hAnsi="Trebuchet MS" w:cs="Arial"/>
          <w:lang w:val="en-GB"/>
        </w:rPr>
        <w:t>Interreg</w:t>
      </w:r>
      <w:proofErr w:type="spellEnd"/>
      <w:r w:rsidRPr="00822F98">
        <w:rPr>
          <w:rFonts w:ascii="Trebuchet MS" w:hAnsi="Trebuchet MS" w:cs="Arial"/>
          <w:lang w:val="en-GB"/>
        </w:rPr>
        <w:t xml:space="preserve"> V-A RO-HU CP and Chapter 1.2.3.Horizontal Principles of the </w:t>
      </w:r>
      <w:proofErr w:type="spellStart"/>
      <w:r w:rsidRPr="00822F98">
        <w:rPr>
          <w:rFonts w:ascii="Trebuchet MS" w:hAnsi="Trebuchet MS" w:cs="Arial"/>
          <w:lang w:val="en-GB"/>
        </w:rPr>
        <w:t>GfA</w:t>
      </w:r>
      <w:proofErr w:type="spellEnd"/>
      <w:r w:rsidRPr="00822F98">
        <w:rPr>
          <w:rFonts w:ascii="Trebuchet MS" w:hAnsi="Trebuchet MS" w:cs="Arial"/>
          <w:lang w:val="en-GB"/>
        </w:rPr>
        <w:t>).</w:t>
      </w:r>
    </w:p>
    <w:p w14:paraId="42EE980E" w14:textId="77777777" w:rsidR="000D504A" w:rsidRPr="00822F98" w:rsidRDefault="000D504A" w:rsidP="000D504A">
      <w:pPr>
        <w:pStyle w:val="ListParagraph"/>
        <w:ind w:left="0"/>
        <w:contextualSpacing w:val="0"/>
        <w:jc w:val="both"/>
        <w:rPr>
          <w:rFonts w:ascii="Trebuchet MS" w:hAnsi="Trebuchet MS" w:cs="Arial"/>
          <w:lang w:val="en-GB"/>
        </w:rPr>
      </w:pPr>
      <w:r w:rsidRPr="00822F98">
        <w:rPr>
          <w:rFonts w:ascii="Trebuchet MS" w:hAnsi="Trebuchet MS" w:cs="Arial"/>
          <w:lang w:val="en-GB"/>
        </w:rPr>
        <w:t>The proposed projects should make specific contributions to climate change mitigation through interventions regarding safeguarding natural values.</w:t>
      </w:r>
    </w:p>
    <w:p w14:paraId="564C3497" w14:textId="77777777" w:rsidR="000D504A" w:rsidRPr="00822F98" w:rsidRDefault="000D504A" w:rsidP="000D504A">
      <w:pPr>
        <w:pStyle w:val="ListParagraph"/>
        <w:ind w:left="0"/>
        <w:contextualSpacing w:val="0"/>
        <w:jc w:val="both"/>
        <w:rPr>
          <w:rFonts w:ascii="Trebuchet MS" w:hAnsi="Trebuchet MS" w:cs="Arial"/>
          <w:lang w:val="en-GB"/>
        </w:rPr>
      </w:pPr>
      <w:r w:rsidRPr="00822F98">
        <w:rPr>
          <w:rFonts w:ascii="Trebuchet MS" w:hAnsi="Trebuchet MS" w:cs="Arial"/>
          <w:lang w:val="en-GB"/>
        </w:rPr>
        <w:t>Projects with a direct negative impact on the environment and sustainable development will not be selected for financing.</w:t>
      </w:r>
    </w:p>
    <w:p w14:paraId="448A6716" w14:textId="77777777" w:rsidR="000D504A" w:rsidRPr="00822F98" w:rsidRDefault="000D504A" w:rsidP="000D504A">
      <w:pPr>
        <w:pStyle w:val="ListParagraph"/>
        <w:ind w:left="0"/>
        <w:contextualSpacing w:val="0"/>
        <w:jc w:val="both"/>
        <w:rPr>
          <w:rFonts w:ascii="Trebuchet MS" w:hAnsi="Trebuchet MS" w:cs="Arial"/>
          <w:lang w:val="en-GB"/>
        </w:rPr>
      </w:pPr>
      <w:r w:rsidRPr="00822F98">
        <w:rPr>
          <w:rFonts w:ascii="Trebuchet MS" w:hAnsi="Trebuchet MS" w:cs="Arial"/>
          <w:lang w:val="en-GB"/>
        </w:rPr>
        <w:t>It will also be ensured that projects affecting NATURA 2000 sites are in line with Article 6, paragraphs 2-4 of the Habitats Directive, stipulating how NATURA 2000 sites are managed and protected.</w:t>
      </w:r>
    </w:p>
    <w:p w14:paraId="0CD044DF" w14:textId="06BA9FEA" w:rsidR="00B96F7F" w:rsidRPr="00823C08" w:rsidRDefault="00B96F7F" w:rsidP="00B0614B">
      <w:pPr>
        <w:pStyle w:val="ListParagraph"/>
        <w:ind w:left="0"/>
        <w:contextualSpacing w:val="0"/>
        <w:jc w:val="both"/>
        <w:rPr>
          <w:rFonts w:ascii="Open Sans" w:hAnsi="Open Sans" w:cs="Open Sans"/>
          <w:lang w:val="en-GB"/>
        </w:rPr>
      </w:pPr>
    </w:p>
    <w:p w14:paraId="5BE4FFE8" w14:textId="77777777" w:rsidR="00B0614B" w:rsidRPr="00B04EA1" w:rsidRDefault="00B0614B" w:rsidP="00B0614B">
      <w:pPr>
        <w:pStyle w:val="Default"/>
        <w:spacing w:before="120" w:after="120" w:line="276" w:lineRule="auto"/>
        <w:ind w:left="720"/>
        <w:jc w:val="both"/>
        <w:rPr>
          <w:rFonts w:ascii="Open Sans" w:hAnsi="Open Sans" w:cs="Open Sans"/>
          <w:color w:val="6E6E6E" w:themeColor="accent1" w:themeShade="80"/>
          <w:sz w:val="22"/>
          <w:szCs w:val="22"/>
          <w:lang w:val="en-GB"/>
        </w:rPr>
      </w:pPr>
    </w:p>
    <w:sectPr w:rsidR="00B0614B" w:rsidRPr="00B04EA1" w:rsidSect="002E2CB5">
      <w:headerReference w:type="even" r:id="rId9"/>
      <w:headerReference w:type="default" r:id="rId10"/>
      <w:footerReference w:type="even" r:id="rId11"/>
      <w:footerReference w:type="default" r:id="rId12"/>
      <w:headerReference w:type="first" r:id="rId13"/>
      <w:footerReference w:type="first" r:id="rId14"/>
      <w:pgSz w:w="12240" w:h="15840"/>
      <w:pgMar w:top="1440" w:right="1080" w:bottom="993" w:left="1440" w:header="720" w:footer="4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CB84B7" w14:textId="77777777" w:rsidR="00AB5D64" w:rsidRDefault="00AB5D64" w:rsidP="00AF2307">
      <w:pPr>
        <w:spacing w:after="0" w:line="240" w:lineRule="auto"/>
      </w:pPr>
      <w:r>
        <w:separator/>
      </w:r>
    </w:p>
  </w:endnote>
  <w:endnote w:type="continuationSeparator" w:id="0">
    <w:p w14:paraId="59B5C6EC" w14:textId="77777777" w:rsidR="00AB5D64" w:rsidRDefault="00AB5D64" w:rsidP="00AF23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Segoe UI Symbol">
    <w:panose1 w:val="020B0502040204020203"/>
    <w:charset w:val="00"/>
    <w:family w:val="swiss"/>
    <w:pitch w:val="variable"/>
    <w:sig w:usb0="8000006F" w:usb1="1200FBEF" w:usb2="0004C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en Sans">
    <w:panose1 w:val="020B0606030504020204"/>
    <w:charset w:val="00"/>
    <w:family w:val="swiss"/>
    <w:pitch w:val="variable"/>
    <w:sig w:usb0="E00002EF" w:usb1="4000205B" w:usb2="00000028" w:usb3="00000000" w:csb0="0000019F" w:csb1="00000000"/>
  </w:font>
  <w:font w:name="Trebuchet MS">
    <w:panose1 w:val="020B0603020202020204"/>
    <w:charset w:val="00"/>
    <w:family w:val="swiss"/>
    <w:pitch w:val="variable"/>
    <w:sig w:usb0="00000287" w:usb1="00000000" w:usb2="00000000" w:usb3="00000000" w:csb0="0000009F" w:csb1="00000000"/>
  </w:font>
  <w:font w:name="Montserrat Light">
    <w:altName w:val="Arial"/>
    <w:panose1 w:val="00000000000000000000"/>
    <w:charset w:val="00"/>
    <w:family w:val="modern"/>
    <w:notTrueType/>
    <w:pitch w:val="variable"/>
    <w:sig w:usb0="00000007" w:usb1="00000000"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2B88DD" w14:textId="77777777" w:rsidR="002E2CB5" w:rsidRDefault="002E2CB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97607754"/>
      <w:docPartObj>
        <w:docPartGallery w:val="Page Numbers (Bottom of Page)"/>
        <w:docPartUnique/>
      </w:docPartObj>
    </w:sdtPr>
    <w:sdtEndPr>
      <w:rPr>
        <w:noProof/>
      </w:rPr>
    </w:sdtEndPr>
    <w:sdtContent>
      <w:p w14:paraId="67A87B7C" w14:textId="77777777" w:rsidR="0079079D" w:rsidRDefault="0079079D">
        <w:pPr>
          <w:pStyle w:val="Footer"/>
          <w:jc w:val="right"/>
        </w:pPr>
        <w:r>
          <w:fldChar w:fldCharType="begin"/>
        </w:r>
        <w:r>
          <w:instrText xml:space="preserve"> PAGE   \* MERGEFORMAT </w:instrText>
        </w:r>
        <w:r>
          <w:fldChar w:fldCharType="separate"/>
        </w:r>
        <w:r w:rsidR="00686399">
          <w:rPr>
            <w:noProof/>
          </w:rPr>
          <w:t>2</w:t>
        </w:r>
        <w:r>
          <w:rPr>
            <w:noProof/>
          </w:rPr>
          <w:fldChar w:fldCharType="end"/>
        </w:r>
      </w:p>
    </w:sdtContent>
  </w:sdt>
  <w:p w14:paraId="45962B86" w14:textId="77777777" w:rsidR="0079079D" w:rsidRDefault="0079079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2662FE" w14:textId="77777777" w:rsidR="002E2CB5" w:rsidRDefault="002E2CB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05AE66" w14:textId="77777777" w:rsidR="00AB5D64" w:rsidRDefault="00AB5D64" w:rsidP="00AF2307">
      <w:pPr>
        <w:spacing w:after="0" w:line="240" w:lineRule="auto"/>
      </w:pPr>
      <w:r>
        <w:separator/>
      </w:r>
    </w:p>
  </w:footnote>
  <w:footnote w:type="continuationSeparator" w:id="0">
    <w:p w14:paraId="4734AAD8" w14:textId="77777777" w:rsidR="00AB5D64" w:rsidRDefault="00AB5D64" w:rsidP="00AF2307">
      <w:pPr>
        <w:spacing w:after="0" w:line="240" w:lineRule="auto"/>
      </w:pPr>
      <w:r>
        <w:continuationSeparator/>
      </w:r>
    </w:p>
  </w:footnote>
  <w:footnote w:id="1">
    <w:p w14:paraId="229B49A2" w14:textId="3ACBCAC6" w:rsidR="006773C1" w:rsidRPr="006773C1" w:rsidRDefault="006773C1" w:rsidP="006773C1">
      <w:pPr>
        <w:autoSpaceDE w:val="0"/>
        <w:autoSpaceDN w:val="0"/>
        <w:adjustRightInd w:val="0"/>
        <w:spacing w:after="0" w:line="240" w:lineRule="auto"/>
        <w:rPr>
          <w:rFonts w:ascii="Arial" w:hAnsi="Arial" w:cs="Arial"/>
          <w:sz w:val="16"/>
          <w:szCs w:val="16"/>
          <w:lang w:val="en-US"/>
        </w:rPr>
      </w:pPr>
      <w:r w:rsidRPr="00D974CD">
        <w:rPr>
          <w:rStyle w:val="FootnoteReference"/>
          <w:color w:val="6E6E6E" w:themeColor="accent1" w:themeShade="80"/>
        </w:rPr>
        <w:footnoteRef/>
      </w:r>
      <w:r w:rsidRPr="00D974CD">
        <w:rPr>
          <w:color w:val="6E6E6E" w:themeColor="accent1" w:themeShade="80"/>
        </w:rPr>
        <w:t xml:space="preserve"> </w:t>
      </w:r>
      <w:r w:rsidRPr="00D974CD">
        <w:rPr>
          <w:rFonts w:ascii="Arial" w:hAnsi="Arial" w:cs="Arial"/>
          <w:color w:val="6E6E6E" w:themeColor="accent1" w:themeShade="80"/>
          <w:sz w:val="16"/>
          <w:szCs w:val="16"/>
          <w:lang w:val="en-US"/>
        </w:rPr>
        <w:t>Directive 2000/60/EC of the European Parliament and of the Council of 23 October 2000 establishing a framework for the Community action in the field of water policy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310635" w14:textId="77777777" w:rsidR="002E2CB5" w:rsidRDefault="002E2CB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E9593" w14:textId="079990F1" w:rsidR="002E2CB5" w:rsidRPr="002E2CB5" w:rsidRDefault="002E2CB5" w:rsidP="00686399">
    <w:pPr>
      <w:pStyle w:val="Header"/>
      <w:jc w:val="right"/>
      <w:rPr>
        <w:rFonts w:ascii="Open Sans" w:hAnsi="Open Sans" w:cs="Open Sans"/>
        <w:sz w:val="20"/>
        <w:szCs w:val="20"/>
      </w:rPr>
    </w:pPr>
    <w:r>
      <w:t xml:space="preserve">                                       </w:t>
    </w:r>
    <w:r w:rsidRPr="002E2CB5">
      <w:rPr>
        <w:rFonts w:ascii="Open Sans" w:hAnsi="Open Sans" w:cs="Open Sans"/>
        <w:sz w:val="20"/>
        <w:szCs w:val="20"/>
      </w:rPr>
      <w:t>Factsheet Ip6/b</w:t>
    </w: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54ED50" w14:textId="4CF9C878" w:rsidR="002E2CB5" w:rsidRDefault="00686399">
    <w:pPr>
      <w:pStyle w:val="Header"/>
    </w:pPr>
    <w:r>
      <w:rPr>
        <w:noProof/>
        <w:lang w:val="en-US"/>
      </w:rPr>
      <w:drawing>
        <wp:inline distT="0" distB="0" distL="0" distR="0" wp14:anchorId="57ED3552" wp14:editId="42237C4E">
          <wp:extent cx="2905664" cy="684000"/>
          <wp:effectExtent l="0" t="0" r="9525"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905664" cy="684000"/>
                  </a:xfrm>
                  <a:prstGeom prst="rect">
                    <a:avLst/>
                  </a:prstGeom>
                </pic:spPr>
              </pic:pic>
            </a:graphicData>
          </a:graphic>
        </wp:inline>
      </w:drawing>
    </w:r>
    <w:r>
      <w:t xml:space="preserve">                                  </w:t>
    </w:r>
    <w:r>
      <w:rPr>
        <w:rFonts w:ascii="Montserrat Light" w:hAnsi="Montserrat Light"/>
        <w:noProof/>
        <w:lang w:val="en-US"/>
      </w:rPr>
      <w:drawing>
        <wp:inline distT="0" distB="0" distL="0" distR="0" wp14:anchorId="73BE9150" wp14:editId="70D98DCA">
          <wp:extent cx="748146" cy="68107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o in en.jpg"/>
                  <pic:cNvPicPr/>
                </pic:nvPicPr>
                <pic:blipFill>
                  <a:blip r:embed="rId2">
                    <a:extLst>
                      <a:ext uri="{28A0092B-C50C-407E-A947-70E740481C1C}">
                        <a14:useLocalDpi xmlns:a14="http://schemas.microsoft.com/office/drawing/2010/main" val="0"/>
                      </a:ext>
                    </a:extLst>
                  </a:blip>
                  <a:stretch>
                    <a:fillRect/>
                  </a:stretch>
                </pic:blipFill>
                <pic:spPr>
                  <a:xfrm>
                    <a:off x="0" y="0"/>
                    <a:ext cx="807604" cy="735197"/>
                  </a:xfrm>
                  <a:prstGeom prst="rect">
                    <a:avLst/>
                  </a:prstGeom>
                </pic:spPr>
              </pic:pic>
            </a:graphicData>
          </a:graphic>
        </wp:inline>
      </w:drawing>
    </w:r>
    <w:r>
      <w:t xml:space="preserve">  </w:t>
    </w:r>
    <w:r>
      <w:rPr>
        <w:noProof/>
        <w:lang w:val="en-US"/>
      </w:rPr>
      <w:drawing>
        <wp:inline distT="0" distB="0" distL="0" distR="0" wp14:anchorId="258C7544" wp14:editId="187B8B18">
          <wp:extent cx="618857" cy="684000"/>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igla hu en.jpg"/>
                  <pic:cNvPicPr/>
                </pic:nvPicPr>
                <pic:blipFill>
                  <a:blip r:embed="rId3">
                    <a:extLst>
                      <a:ext uri="{28A0092B-C50C-407E-A947-70E740481C1C}">
                        <a14:useLocalDpi xmlns:a14="http://schemas.microsoft.com/office/drawing/2010/main" val="0"/>
                      </a:ext>
                    </a:extLst>
                  </a:blip>
                  <a:stretch>
                    <a:fillRect/>
                  </a:stretch>
                </pic:blipFill>
                <pic:spPr>
                  <a:xfrm>
                    <a:off x="0" y="0"/>
                    <a:ext cx="618857" cy="684000"/>
                  </a:xfrm>
                  <a:prstGeom prst="rect">
                    <a:avLst/>
                  </a:prstGeom>
                </pic:spPr>
              </pic:pic>
            </a:graphicData>
          </a:graphic>
        </wp:inline>
      </w:drawing>
    </w:r>
  </w:p>
  <w:p w14:paraId="5693E5F1" w14:textId="77777777" w:rsidR="00686399" w:rsidRDefault="00686399">
    <w:pPr>
      <w:pStyle w:val="Header"/>
    </w:pPr>
  </w:p>
  <w:p w14:paraId="02E940AC" w14:textId="55719030" w:rsidR="00686399" w:rsidRDefault="00686399" w:rsidP="00686399">
    <w:pPr>
      <w:pStyle w:val="Header"/>
      <w:jc w:val="right"/>
    </w:pPr>
    <w:r w:rsidRPr="002E2CB5">
      <w:rPr>
        <w:rFonts w:ascii="Open Sans" w:hAnsi="Open Sans" w:cs="Open Sans"/>
        <w:sz w:val="20"/>
        <w:szCs w:val="20"/>
      </w:rPr>
      <w:t>Factsheet Ip6/b</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00EC5"/>
    <w:multiLevelType w:val="hybridMultilevel"/>
    <w:tmpl w:val="846C863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E451FD"/>
    <w:multiLevelType w:val="hybridMultilevel"/>
    <w:tmpl w:val="17A42C40"/>
    <w:lvl w:ilvl="0" w:tplc="013EF9B4">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AF6CED2">
      <w:start w:val="1"/>
      <w:numFmt w:val="bullet"/>
      <w:lvlText w:val="o"/>
      <w:lvlJc w:val="left"/>
      <w:pPr>
        <w:ind w:left="161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F185F92">
      <w:start w:val="1"/>
      <w:numFmt w:val="bullet"/>
      <w:lvlText w:val="▪"/>
      <w:lvlJc w:val="left"/>
      <w:pPr>
        <w:ind w:left="233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E6AC14C0">
      <w:start w:val="1"/>
      <w:numFmt w:val="bullet"/>
      <w:lvlText w:val="•"/>
      <w:lvlJc w:val="left"/>
      <w:pPr>
        <w:ind w:left="30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BA87524">
      <w:start w:val="1"/>
      <w:numFmt w:val="bullet"/>
      <w:lvlText w:val="o"/>
      <w:lvlJc w:val="left"/>
      <w:pPr>
        <w:ind w:left="377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D6445AE">
      <w:start w:val="1"/>
      <w:numFmt w:val="bullet"/>
      <w:lvlText w:val="▪"/>
      <w:lvlJc w:val="left"/>
      <w:pPr>
        <w:ind w:left="449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EF851D8">
      <w:start w:val="1"/>
      <w:numFmt w:val="bullet"/>
      <w:lvlText w:val="•"/>
      <w:lvlJc w:val="left"/>
      <w:pPr>
        <w:ind w:left="52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8C44162">
      <w:start w:val="1"/>
      <w:numFmt w:val="bullet"/>
      <w:lvlText w:val="o"/>
      <w:lvlJc w:val="left"/>
      <w:pPr>
        <w:ind w:left="593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7BC4794">
      <w:start w:val="1"/>
      <w:numFmt w:val="bullet"/>
      <w:lvlText w:val="▪"/>
      <w:lvlJc w:val="left"/>
      <w:pPr>
        <w:ind w:left="665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
    <w:nsid w:val="09D61314"/>
    <w:multiLevelType w:val="hybridMultilevel"/>
    <w:tmpl w:val="1FDE00C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D716AE"/>
    <w:multiLevelType w:val="hybridMultilevel"/>
    <w:tmpl w:val="771C1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476BF1"/>
    <w:multiLevelType w:val="hybridMultilevel"/>
    <w:tmpl w:val="8E12D846"/>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A33391"/>
    <w:multiLevelType w:val="hybridMultilevel"/>
    <w:tmpl w:val="129427D2"/>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9203FE"/>
    <w:multiLevelType w:val="hybridMultilevel"/>
    <w:tmpl w:val="7AAC9DDC"/>
    <w:lvl w:ilvl="0" w:tplc="531E0DB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48C7875"/>
    <w:multiLevelType w:val="multilevel"/>
    <w:tmpl w:val="EF0E898E"/>
    <w:lvl w:ilvl="0">
      <w:start w:val="1"/>
      <w:numFmt w:val="lowerLetter"/>
      <w:pStyle w:val="Bulletletter"/>
      <w:lvlText w:val="(%1)"/>
      <w:lvlJc w:val="left"/>
      <w:pPr>
        <w:ind w:left="18"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71D6D90"/>
    <w:multiLevelType w:val="hybridMultilevel"/>
    <w:tmpl w:val="0E2AC91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8FF29C8"/>
    <w:multiLevelType w:val="hybridMultilevel"/>
    <w:tmpl w:val="20548BA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2E403F"/>
    <w:multiLevelType w:val="hybridMultilevel"/>
    <w:tmpl w:val="EB025E5A"/>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1E613620"/>
    <w:multiLevelType w:val="hybridMultilevel"/>
    <w:tmpl w:val="4D341DD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FF4164E"/>
    <w:multiLevelType w:val="hybridMultilevel"/>
    <w:tmpl w:val="1BF009D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0690AB8"/>
    <w:multiLevelType w:val="hybridMultilevel"/>
    <w:tmpl w:val="7FE8680C"/>
    <w:lvl w:ilvl="0" w:tplc="00DA00F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1626F6E"/>
    <w:multiLevelType w:val="hybridMultilevel"/>
    <w:tmpl w:val="25744A1E"/>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1AF7D4D"/>
    <w:multiLevelType w:val="multilevel"/>
    <w:tmpl w:val="8A2C3F3E"/>
    <w:lvl w:ilvl="0">
      <w:start w:val="1"/>
      <w:numFmt w:val="bullet"/>
      <w:lvlText w:val=""/>
      <w:lvlJc w:val="left"/>
      <w:pPr>
        <w:ind w:left="18" w:hanging="360"/>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33E3FB2"/>
    <w:multiLevelType w:val="hybridMultilevel"/>
    <w:tmpl w:val="7EE0E448"/>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79F4772"/>
    <w:multiLevelType w:val="hybridMultilevel"/>
    <w:tmpl w:val="58F424CE"/>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91543B8"/>
    <w:multiLevelType w:val="hybridMultilevel"/>
    <w:tmpl w:val="7C44C9C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BAA51A7"/>
    <w:multiLevelType w:val="hybridMultilevel"/>
    <w:tmpl w:val="7570D850"/>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C4F1AD4"/>
    <w:multiLevelType w:val="hybridMultilevel"/>
    <w:tmpl w:val="EF0AE758"/>
    <w:lvl w:ilvl="0" w:tplc="F00A735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CDA62DF"/>
    <w:multiLevelType w:val="hybridMultilevel"/>
    <w:tmpl w:val="ADDA0108"/>
    <w:lvl w:ilvl="0" w:tplc="0409000D">
      <w:start w:val="1"/>
      <w:numFmt w:val="bullet"/>
      <w:lvlText w:val=""/>
      <w:lvlJc w:val="left"/>
      <w:pPr>
        <w:ind w:left="720" w:hanging="360"/>
      </w:pPr>
      <w:rPr>
        <w:rFonts w:ascii="Wingdings" w:hAnsi="Wingdings" w:hint="default"/>
      </w:rPr>
    </w:lvl>
    <w:lvl w:ilvl="1" w:tplc="B7582E2C">
      <w:numFmt w:val="bullet"/>
      <w:lvlText w:val=""/>
      <w:lvlJc w:val="left"/>
      <w:pPr>
        <w:ind w:left="1800" w:hanging="720"/>
      </w:pPr>
      <w:rPr>
        <w:rFonts w:ascii="Symbol" w:eastAsiaTheme="minorHAnsi" w:hAnsi="Symbol" w:cs="Arial" w:hint="default"/>
      </w:rPr>
    </w:lvl>
    <w:lvl w:ilvl="2" w:tplc="EC9A7F7C">
      <w:numFmt w:val="bullet"/>
      <w:lvlText w:val="-"/>
      <w:lvlJc w:val="left"/>
      <w:pPr>
        <w:ind w:left="2520" w:hanging="720"/>
      </w:pPr>
      <w:rPr>
        <w:rFonts w:ascii="Arial" w:eastAsiaTheme="minorHAnsi"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0086EA0"/>
    <w:multiLevelType w:val="hybridMultilevel"/>
    <w:tmpl w:val="5E8695E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32F8230E"/>
    <w:multiLevelType w:val="hybridMultilevel"/>
    <w:tmpl w:val="064CF06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3562839"/>
    <w:multiLevelType w:val="hybridMultilevel"/>
    <w:tmpl w:val="A280A1A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37B38B1"/>
    <w:multiLevelType w:val="hybridMultilevel"/>
    <w:tmpl w:val="4910448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3B570EA"/>
    <w:multiLevelType w:val="hybridMultilevel"/>
    <w:tmpl w:val="0B146D5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7142770"/>
    <w:multiLevelType w:val="hybridMultilevel"/>
    <w:tmpl w:val="7966CC94"/>
    <w:lvl w:ilvl="0" w:tplc="04090001">
      <w:start w:val="1"/>
      <w:numFmt w:val="bullet"/>
      <w:lvlText w:val=""/>
      <w:lvlJc w:val="left"/>
      <w:pPr>
        <w:ind w:left="1980" w:hanging="360"/>
      </w:pPr>
      <w:rPr>
        <w:rFonts w:ascii="Symbol" w:hAnsi="Symbol" w:hint="default"/>
      </w:rPr>
    </w:lvl>
    <w:lvl w:ilvl="1" w:tplc="04090001">
      <w:start w:val="1"/>
      <w:numFmt w:val="bullet"/>
      <w:lvlText w:val=""/>
      <w:lvlJc w:val="left"/>
      <w:pPr>
        <w:ind w:left="2700" w:hanging="360"/>
      </w:pPr>
      <w:rPr>
        <w:rFonts w:ascii="Symbol" w:hAnsi="Symbol"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8">
    <w:nsid w:val="38A01BAE"/>
    <w:multiLevelType w:val="hybridMultilevel"/>
    <w:tmpl w:val="A372C28E"/>
    <w:lvl w:ilvl="0" w:tplc="6CBCD8F0">
      <w:numFmt w:val="bullet"/>
      <w:lvlText w:val="•"/>
      <w:lvlJc w:val="left"/>
      <w:pPr>
        <w:ind w:left="1080" w:hanging="72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96E7357"/>
    <w:multiLevelType w:val="hybridMultilevel"/>
    <w:tmpl w:val="35DCA20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A0E683E"/>
    <w:multiLevelType w:val="hybridMultilevel"/>
    <w:tmpl w:val="904E8DC6"/>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D093711"/>
    <w:multiLevelType w:val="hybridMultilevel"/>
    <w:tmpl w:val="A72E377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E66096D"/>
    <w:multiLevelType w:val="hybridMultilevel"/>
    <w:tmpl w:val="9DE8688E"/>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3F8B72C6"/>
    <w:multiLevelType w:val="hybridMultilevel"/>
    <w:tmpl w:val="CA3630B2"/>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57312A4"/>
    <w:multiLevelType w:val="hybridMultilevel"/>
    <w:tmpl w:val="BFF4AAEA"/>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ADD37EC"/>
    <w:multiLevelType w:val="hybridMultilevel"/>
    <w:tmpl w:val="1C02EFF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4C51067B"/>
    <w:multiLevelType w:val="hybridMultilevel"/>
    <w:tmpl w:val="97ECC46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4C8A0125"/>
    <w:multiLevelType w:val="multilevel"/>
    <w:tmpl w:val="E52C80C6"/>
    <w:lvl w:ilvl="0">
      <w:start w:val="1"/>
      <w:numFmt w:val="bullet"/>
      <w:lvlText w:val=""/>
      <w:lvlJc w:val="left"/>
      <w:pPr>
        <w:ind w:left="18" w:hanging="360"/>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515B4BD5"/>
    <w:multiLevelType w:val="hybridMultilevel"/>
    <w:tmpl w:val="D166D4B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21F3C28"/>
    <w:multiLevelType w:val="hybridMultilevel"/>
    <w:tmpl w:val="EFB2263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2624F35"/>
    <w:multiLevelType w:val="hybridMultilevel"/>
    <w:tmpl w:val="BD223D6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4214A96"/>
    <w:multiLevelType w:val="hybridMultilevel"/>
    <w:tmpl w:val="616AA66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545E70C6"/>
    <w:multiLevelType w:val="hybridMultilevel"/>
    <w:tmpl w:val="5C14E30A"/>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568B48CB"/>
    <w:multiLevelType w:val="hybridMultilevel"/>
    <w:tmpl w:val="AB5C6EC6"/>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56A70309"/>
    <w:multiLevelType w:val="hybridMultilevel"/>
    <w:tmpl w:val="29AE4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58370BEF"/>
    <w:multiLevelType w:val="hybridMultilevel"/>
    <w:tmpl w:val="94C6E28A"/>
    <w:lvl w:ilvl="0" w:tplc="B7024FE6">
      <w:start w:val="1"/>
      <w:numFmt w:val="lowerRoman"/>
      <w:lvlText w:val="(%1)"/>
      <w:lvlJc w:val="left"/>
      <w:pPr>
        <w:ind w:left="1350" w:hanging="72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6">
    <w:nsid w:val="588E15F1"/>
    <w:multiLevelType w:val="hybridMultilevel"/>
    <w:tmpl w:val="1770676E"/>
    <w:lvl w:ilvl="0" w:tplc="0409000D">
      <w:start w:val="1"/>
      <w:numFmt w:val="bullet"/>
      <w:lvlText w:val=""/>
      <w:lvlJc w:val="left"/>
      <w:pPr>
        <w:ind w:left="720" w:hanging="360"/>
      </w:pPr>
      <w:rPr>
        <w:rFonts w:ascii="Wingdings" w:hAnsi="Wingdings" w:hint="default"/>
      </w:rPr>
    </w:lvl>
    <w:lvl w:ilvl="1" w:tplc="7A06CDE2">
      <w:start w:val="2"/>
      <w:numFmt w:val="bullet"/>
      <w:lvlText w:val="•"/>
      <w:lvlJc w:val="left"/>
      <w:pPr>
        <w:ind w:left="1800" w:hanging="720"/>
      </w:pPr>
      <w:rPr>
        <w:rFonts w:ascii="Arial" w:eastAsiaTheme="minorHAns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59280AFA"/>
    <w:multiLevelType w:val="hybridMultilevel"/>
    <w:tmpl w:val="AF862996"/>
    <w:lvl w:ilvl="0" w:tplc="0409000D">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8">
    <w:nsid w:val="5A4721C3"/>
    <w:multiLevelType w:val="hybridMultilevel"/>
    <w:tmpl w:val="CBCC060C"/>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5A9015FE"/>
    <w:multiLevelType w:val="hybridMultilevel"/>
    <w:tmpl w:val="B04AA62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5D664B63"/>
    <w:multiLevelType w:val="hybridMultilevel"/>
    <w:tmpl w:val="AE080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5DDA5059"/>
    <w:multiLevelType w:val="hybridMultilevel"/>
    <w:tmpl w:val="7CCC11F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5F0B6BF4"/>
    <w:multiLevelType w:val="hybridMultilevel"/>
    <w:tmpl w:val="D68A2140"/>
    <w:lvl w:ilvl="0" w:tplc="0409000D">
      <w:start w:val="1"/>
      <w:numFmt w:val="bullet"/>
      <w:lvlText w:val=""/>
      <w:lvlJc w:val="left"/>
      <w:pPr>
        <w:ind w:left="720" w:hanging="360"/>
      </w:pPr>
      <w:rPr>
        <w:rFonts w:ascii="Wingdings" w:hAnsi="Wingdings" w:hint="default"/>
      </w:rPr>
    </w:lvl>
    <w:lvl w:ilvl="1" w:tplc="EC0E6AF4">
      <w:numFmt w:val="bullet"/>
      <w:lvlText w:val=""/>
      <w:lvlJc w:val="left"/>
      <w:pPr>
        <w:ind w:left="1440" w:hanging="360"/>
      </w:pPr>
      <w:rPr>
        <w:rFonts w:ascii="Symbol" w:eastAsiaTheme="minorHAnsi" w:hAnsi="Symbo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66D955D7"/>
    <w:multiLevelType w:val="hybridMultilevel"/>
    <w:tmpl w:val="B71AD0CC"/>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nsid w:val="69AB171E"/>
    <w:multiLevelType w:val="hybridMultilevel"/>
    <w:tmpl w:val="4FFE2B5A"/>
    <w:lvl w:ilvl="0" w:tplc="1AA0CD0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6A534C18"/>
    <w:multiLevelType w:val="hybridMultilevel"/>
    <w:tmpl w:val="14B82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6A8F36B2"/>
    <w:multiLevelType w:val="hybridMultilevel"/>
    <w:tmpl w:val="F2FAE7A2"/>
    <w:lvl w:ilvl="0" w:tplc="0409000D">
      <w:start w:val="1"/>
      <w:numFmt w:val="bullet"/>
      <w:lvlText w:val=""/>
      <w:lvlJc w:val="left"/>
      <w:pPr>
        <w:ind w:left="90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6B2D7953"/>
    <w:multiLevelType w:val="hybridMultilevel"/>
    <w:tmpl w:val="5044A0E0"/>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6C067AD3"/>
    <w:multiLevelType w:val="hybridMultilevel"/>
    <w:tmpl w:val="6CE2726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700F407E"/>
    <w:multiLevelType w:val="hybridMultilevel"/>
    <w:tmpl w:val="BCF69A42"/>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71313454"/>
    <w:multiLevelType w:val="hybridMultilevel"/>
    <w:tmpl w:val="F578A26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742C7B9B"/>
    <w:multiLevelType w:val="hybridMultilevel"/>
    <w:tmpl w:val="9084810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75E34DC4"/>
    <w:multiLevelType w:val="hybridMultilevel"/>
    <w:tmpl w:val="26DE945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76AE4C7F"/>
    <w:multiLevelType w:val="hybridMultilevel"/>
    <w:tmpl w:val="ED6E15B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7930025A"/>
    <w:multiLevelType w:val="hybridMultilevel"/>
    <w:tmpl w:val="D7382C2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79AA496C"/>
    <w:multiLevelType w:val="multilevel"/>
    <w:tmpl w:val="CDD024D2"/>
    <w:lvl w:ilvl="0">
      <w:start w:val="1"/>
      <w:numFmt w:val="bullet"/>
      <w:lvlText w:val=""/>
      <w:lvlJc w:val="left"/>
      <w:pPr>
        <w:ind w:left="18" w:hanging="360"/>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nsid w:val="7B036C6F"/>
    <w:multiLevelType w:val="hybridMultilevel"/>
    <w:tmpl w:val="3CAE4168"/>
    <w:lvl w:ilvl="0" w:tplc="04090001">
      <w:start w:val="1"/>
      <w:numFmt w:val="bullet"/>
      <w:lvlText w:val=""/>
      <w:lvlJc w:val="left"/>
      <w:pPr>
        <w:ind w:left="1980" w:hanging="360"/>
      </w:pPr>
      <w:rPr>
        <w:rFonts w:ascii="Symbol" w:hAnsi="Symbol" w:hint="default"/>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67">
    <w:nsid w:val="7B106356"/>
    <w:multiLevelType w:val="hybridMultilevel"/>
    <w:tmpl w:val="2B42C9C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7CAD5F64"/>
    <w:multiLevelType w:val="hybridMultilevel"/>
    <w:tmpl w:val="99E2F36E"/>
    <w:lvl w:ilvl="0" w:tplc="0809000D">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9">
    <w:nsid w:val="7D4F0728"/>
    <w:multiLevelType w:val="hybridMultilevel"/>
    <w:tmpl w:val="79BA6CEA"/>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7F5C4821"/>
    <w:multiLevelType w:val="hybridMultilevel"/>
    <w:tmpl w:val="95B269F6"/>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7"/>
  </w:num>
  <w:num w:numId="2">
    <w:abstractNumId w:val="40"/>
  </w:num>
  <w:num w:numId="3">
    <w:abstractNumId w:val="21"/>
  </w:num>
  <w:num w:numId="4">
    <w:abstractNumId w:val="18"/>
  </w:num>
  <w:num w:numId="5">
    <w:abstractNumId w:val="38"/>
  </w:num>
  <w:num w:numId="6">
    <w:abstractNumId w:val="24"/>
  </w:num>
  <w:num w:numId="7">
    <w:abstractNumId w:val="36"/>
  </w:num>
  <w:num w:numId="8">
    <w:abstractNumId w:val="39"/>
  </w:num>
  <w:num w:numId="9">
    <w:abstractNumId w:val="22"/>
  </w:num>
  <w:num w:numId="10">
    <w:abstractNumId w:val="2"/>
  </w:num>
  <w:num w:numId="11">
    <w:abstractNumId w:val="46"/>
  </w:num>
  <w:num w:numId="12">
    <w:abstractNumId w:val="69"/>
  </w:num>
  <w:num w:numId="13">
    <w:abstractNumId w:val="17"/>
  </w:num>
  <w:num w:numId="14">
    <w:abstractNumId w:val="33"/>
  </w:num>
  <w:num w:numId="15">
    <w:abstractNumId w:val="54"/>
  </w:num>
  <w:num w:numId="16">
    <w:abstractNumId w:val="20"/>
  </w:num>
  <w:num w:numId="17">
    <w:abstractNumId w:val="13"/>
  </w:num>
  <w:num w:numId="18">
    <w:abstractNumId w:val="6"/>
  </w:num>
  <w:num w:numId="19">
    <w:abstractNumId w:val="32"/>
  </w:num>
  <w:num w:numId="20">
    <w:abstractNumId w:val="45"/>
  </w:num>
  <w:num w:numId="21">
    <w:abstractNumId w:val="7"/>
  </w:num>
  <w:num w:numId="22">
    <w:abstractNumId w:val="56"/>
  </w:num>
  <w:num w:numId="23">
    <w:abstractNumId w:val="58"/>
  </w:num>
  <w:num w:numId="24">
    <w:abstractNumId w:val="41"/>
  </w:num>
  <w:num w:numId="25">
    <w:abstractNumId w:val="25"/>
  </w:num>
  <w:num w:numId="26">
    <w:abstractNumId w:val="23"/>
  </w:num>
  <w:num w:numId="27">
    <w:abstractNumId w:val="0"/>
  </w:num>
  <w:num w:numId="28">
    <w:abstractNumId w:val="67"/>
  </w:num>
  <w:num w:numId="29">
    <w:abstractNumId w:val="60"/>
  </w:num>
  <w:num w:numId="30">
    <w:abstractNumId w:val="51"/>
  </w:num>
  <w:num w:numId="31">
    <w:abstractNumId w:val="64"/>
  </w:num>
  <w:num w:numId="32">
    <w:abstractNumId w:val="49"/>
  </w:num>
  <w:num w:numId="33">
    <w:abstractNumId w:val="35"/>
  </w:num>
  <w:num w:numId="34">
    <w:abstractNumId w:val="9"/>
  </w:num>
  <w:num w:numId="35">
    <w:abstractNumId w:val="12"/>
  </w:num>
  <w:num w:numId="36">
    <w:abstractNumId w:val="29"/>
  </w:num>
  <w:num w:numId="37">
    <w:abstractNumId w:val="68"/>
  </w:num>
  <w:num w:numId="38">
    <w:abstractNumId w:val="1"/>
  </w:num>
  <w:num w:numId="39">
    <w:abstractNumId w:val="47"/>
  </w:num>
  <w:num w:numId="40">
    <w:abstractNumId w:val="50"/>
  </w:num>
  <w:num w:numId="41">
    <w:abstractNumId w:val="44"/>
  </w:num>
  <w:num w:numId="42">
    <w:abstractNumId w:val="3"/>
  </w:num>
  <w:num w:numId="43">
    <w:abstractNumId w:val="28"/>
  </w:num>
  <w:num w:numId="44">
    <w:abstractNumId w:val="15"/>
  </w:num>
  <w:num w:numId="45">
    <w:abstractNumId w:val="65"/>
  </w:num>
  <w:num w:numId="46">
    <w:abstractNumId w:val="37"/>
  </w:num>
  <w:num w:numId="47">
    <w:abstractNumId w:val="59"/>
  </w:num>
  <w:num w:numId="48">
    <w:abstractNumId w:val="43"/>
  </w:num>
  <w:num w:numId="49">
    <w:abstractNumId w:val="34"/>
  </w:num>
  <w:num w:numId="50">
    <w:abstractNumId w:val="10"/>
  </w:num>
  <w:num w:numId="51">
    <w:abstractNumId w:val="61"/>
  </w:num>
  <w:num w:numId="52">
    <w:abstractNumId w:val="4"/>
  </w:num>
  <w:num w:numId="53">
    <w:abstractNumId w:val="26"/>
  </w:num>
  <w:num w:numId="54">
    <w:abstractNumId w:val="16"/>
  </w:num>
  <w:num w:numId="55">
    <w:abstractNumId w:val="70"/>
  </w:num>
  <w:num w:numId="56">
    <w:abstractNumId w:val="14"/>
  </w:num>
  <w:num w:numId="57">
    <w:abstractNumId w:val="5"/>
  </w:num>
  <w:num w:numId="58">
    <w:abstractNumId w:val="30"/>
  </w:num>
  <w:num w:numId="59">
    <w:abstractNumId w:val="19"/>
  </w:num>
  <w:num w:numId="60">
    <w:abstractNumId w:val="42"/>
  </w:num>
  <w:num w:numId="61">
    <w:abstractNumId w:val="48"/>
  </w:num>
  <w:num w:numId="62">
    <w:abstractNumId w:val="11"/>
  </w:num>
  <w:num w:numId="63">
    <w:abstractNumId w:val="53"/>
  </w:num>
  <w:num w:numId="64">
    <w:abstractNumId w:val="62"/>
  </w:num>
  <w:num w:numId="65">
    <w:abstractNumId w:val="63"/>
  </w:num>
  <w:num w:numId="66">
    <w:abstractNumId w:val="52"/>
  </w:num>
  <w:num w:numId="67">
    <w:abstractNumId w:val="31"/>
  </w:num>
  <w:num w:numId="68">
    <w:abstractNumId w:val="66"/>
  </w:num>
  <w:num w:numId="69">
    <w:abstractNumId w:val="27"/>
  </w:num>
  <w:num w:numId="70">
    <w:abstractNumId w:val="8"/>
  </w:num>
  <w:num w:numId="71">
    <w:abstractNumId w:val="55"/>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hdrShapeDefaults>
    <o:shapedefaults v:ext="edit" spidmax="2049">
      <o:colormru v:ext="edit" colors="#cdddeb,#d0e6e8,#cdd8eb,#cafad0,#c8fceb"/>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01AC"/>
    <w:rsid w:val="00003336"/>
    <w:rsid w:val="00003EA2"/>
    <w:rsid w:val="00004652"/>
    <w:rsid w:val="00012628"/>
    <w:rsid w:val="000150B0"/>
    <w:rsid w:val="00022586"/>
    <w:rsid w:val="000300F6"/>
    <w:rsid w:val="0003137E"/>
    <w:rsid w:val="000430CE"/>
    <w:rsid w:val="00050F0D"/>
    <w:rsid w:val="00055F86"/>
    <w:rsid w:val="000638F0"/>
    <w:rsid w:val="00091910"/>
    <w:rsid w:val="000937DE"/>
    <w:rsid w:val="000A2A62"/>
    <w:rsid w:val="000A5F97"/>
    <w:rsid w:val="000A7999"/>
    <w:rsid w:val="000D504A"/>
    <w:rsid w:val="000D561D"/>
    <w:rsid w:val="000E3A02"/>
    <w:rsid w:val="000E666E"/>
    <w:rsid w:val="000F006B"/>
    <w:rsid w:val="000F52B6"/>
    <w:rsid w:val="00100FDC"/>
    <w:rsid w:val="00104048"/>
    <w:rsid w:val="00110F3A"/>
    <w:rsid w:val="001145EC"/>
    <w:rsid w:val="00127900"/>
    <w:rsid w:val="00131C33"/>
    <w:rsid w:val="0013303C"/>
    <w:rsid w:val="00133EDB"/>
    <w:rsid w:val="00140F83"/>
    <w:rsid w:val="00146FB6"/>
    <w:rsid w:val="001522C0"/>
    <w:rsid w:val="00154957"/>
    <w:rsid w:val="00155CB1"/>
    <w:rsid w:val="00156A2E"/>
    <w:rsid w:val="00165C31"/>
    <w:rsid w:val="00181EB4"/>
    <w:rsid w:val="00184808"/>
    <w:rsid w:val="0018502F"/>
    <w:rsid w:val="00192428"/>
    <w:rsid w:val="001A0512"/>
    <w:rsid w:val="001A233C"/>
    <w:rsid w:val="001A3392"/>
    <w:rsid w:val="001B08FB"/>
    <w:rsid w:val="001C19BC"/>
    <w:rsid w:val="001C4125"/>
    <w:rsid w:val="001E2869"/>
    <w:rsid w:val="001F0D4E"/>
    <w:rsid w:val="00201B0F"/>
    <w:rsid w:val="0020579A"/>
    <w:rsid w:val="0022262E"/>
    <w:rsid w:val="0023125B"/>
    <w:rsid w:val="00231763"/>
    <w:rsid w:val="00260739"/>
    <w:rsid w:val="00260987"/>
    <w:rsid w:val="00296099"/>
    <w:rsid w:val="002B28B1"/>
    <w:rsid w:val="002B3CDE"/>
    <w:rsid w:val="002C2A7B"/>
    <w:rsid w:val="002C30E7"/>
    <w:rsid w:val="002E1CF1"/>
    <w:rsid w:val="002E2CB5"/>
    <w:rsid w:val="002F1A85"/>
    <w:rsid w:val="002F63C3"/>
    <w:rsid w:val="002F7BFE"/>
    <w:rsid w:val="00310962"/>
    <w:rsid w:val="00312B04"/>
    <w:rsid w:val="0031471E"/>
    <w:rsid w:val="00327E9C"/>
    <w:rsid w:val="0033250E"/>
    <w:rsid w:val="003336A7"/>
    <w:rsid w:val="003555B4"/>
    <w:rsid w:val="00357D4D"/>
    <w:rsid w:val="003755C4"/>
    <w:rsid w:val="00375A9F"/>
    <w:rsid w:val="00380751"/>
    <w:rsid w:val="00381DED"/>
    <w:rsid w:val="00381F12"/>
    <w:rsid w:val="003858C0"/>
    <w:rsid w:val="00395D3E"/>
    <w:rsid w:val="003A31C0"/>
    <w:rsid w:val="003A4B50"/>
    <w:rsid w:val="003A7B50"/>
    <w:rsid w:val="003B3925"/>
    <w:rsid w:val="003B44F8"/>
    <w:rsid w:val="003C3666"/>
    <w:rsid w:val="003C427A"/>
    <w:rsid w:val="003C5155"/>
    <w:rsid w:val="003D6241"/>
    <w:rsid w:val="003E398A"/>
    <w:rsid w:val="003E557E"/>
    <w:rsid w:val="003F0BBC"/>
    <w:rsid w:val="003F2194"/>
    <w:rsid w:val="00406CCD"/>
    <w:rsid w:val="00410FF8"/>
    <w:rsid w:val="00416CEC"/>
    <w:rsid w:val="00421EE8"/>
    <w:rsid w:val="00433421"/>
    <w:rsid w:val="0044211D"/>
    <w:rsid w:val="00445EEB"/>
    <w:rsid w:val="004469A4"/>
    <w:rsid w:val="0045726A"/>
    <w:rsid w:val="0047166D"/>
    <w:rsid w:val="00472F62"/>
    <w:rsid w:val="00483B13"/>
    <w:rsid w:val="00496F7D"/>
    <w:rsid w:val="004B2B53"/>
    <w:rsid w:val="004B5051"/>
    <w:rsid w:val="004C0CAB"/>
    <w:rsid w:val="004C355B"/>
    <w:rsid w:val="004C7914"/>
    <w:rsid w:val="004C7C35"/>
    <w:rsid w:val="004D297C"/>
    <w:rsid w:val="004D433D"/>
    <w:rsid w:val="004D4416"/>
    <w:rsid w:val="004D5C1E"/>
    <w:rsid w:val="00500482"/>
    <w:rsid w:val="005126EB"/>
    <w:rsid w:val="0051545D"/>
    <w:rsid w:val="00527FD9"/>
    <w:rsid w:val="0053220A"/>
    <w:rsid w:val="00537AD8"/>
    <w:rsid w:val="00552B6F"/>
    <w:rsid w:val="00552CB6"/>
    <w:rsid w:val="00560722"/>
    <w:rsid w:val="00567C60"/>
    <w:rsid w:val="00571254"/>
    <w:rsid w:val="00573ECF"/>
    <w:rsid w:val="00581276"/>
    <w:rsid w:val="0058133E"/>
    <w:rsid w:val="00590722"/>
    <w:rsid w:val="00591DB0"/>
    <w:rsid w:val="00594E7D"/>
    <w:rsid w:val="005A3131"/>
    <w:rsid w:val="005B4606"/>
    <w:rsid w:val="005D283F"/>
    <w:rsid w:val="005D63F1"/>
    <w:rsid w:val="005D6B7C"/>
    <w:rsid w:val="005E070C"/>
    <w:rsid w:val="005E2CF1"/>
    <w:rsid w:val="005E312C"/>
    <w:rsid w:val="005E5D4E"/>
    <w:rsid w:val="005E65E9"/>
    <w:rsid w:val="005F095C"/>
    <w:rsid w:val="005F1067"/>
    <w:rsid w:val="0060764D"/>
    <w:rsid w:val="0062360C"/>
    <w:rsid w:val="00627341"/>
    <w:rsid w:val="00636556"/>
    <w:rsid w:val="006374CD"/>
    <w:rsid w:val="0064491E"/>
    <w:rsid w:val="006517CF"/>
    <w:rsid w:val="00674233"/>
    <w:rsid w:val="0067540E"/>
    <w:rsid w:val="006773C1"/>
    <w:rsid w:val="006846CA"/>
    <w:rsid w:val="00686399"/>
    <w:rsid w:val="00691B8C"/>
    <w:rsid w:val="00691DD1"/>
    <w:rsid w:val="006A18EA"/>
    <w:rsid w:val="006A2C41"/>
    <w:rsid w:val="006A3FE4"/>
    <w:rsid w:val="006A5A2C"/>
    <w:rsid w:val="006C688B"/>
    <w:rsid w:val="006D2B99"/>
    <w:rsid w:val="006E2A5D"/>
    <w:rsid w:val="006F1D07"/>
    <w:rsid w:val="006F5AE3"/>
    <w:rsid w:val="0070361B"/>
    <w:rsid w:val="00706FD9"/>
    <w:rsid w:val="00707FCF"/>
    <w:rsid w:val="00742BAD"/>
    <w:rsid w:val="00750C31"/>
    <w:rsid w:val="00752697"/>
    <w:rsid w:val="00752706"/>
    <w:rsid w:val="00752FA1"/>
    <w:rsid w:val="0077690A"/>
    <w:rsid w:val="007830AB"/>
    <w:rsid w:val="0079079D"/>
    <w:rsid w:val="00790F6B"/>
    <w:rsid w:val="00792A90"/>
    <w:rsid w:val="007A5418"/>
    <w:rsid w:val="007C49D0"/>
    <w:rsid w:val="007C6BF4"/>
    <w:rsid w:val="007C7C35"/>
    <w:rsid w:val="007E491F"/>
    <w:rsid w:val="007F3560"/>
    <w:rsid w:val="007F43EC"/>
    <w:rsid w:val="00801E92"/>
    <w:rsid w:val="00811A63"/>
    <w:rsid w:val="00832F5E"/>
    <w:rsid w:val="0083468A"/>
    <w:rsid w:val="00835FB3"/>
    <w:rsid w:val="00841F80"/>
    <w:rsid w:val="00843044"/>
    <w:rsid w:val="008660FF"/>
    <w:rsid w:val="00866A50"/>
    <w:rsid w:val="00874E22"/>
    <w:rsid w:val="0087686E"/>
    <w:rsid w:val="008815BE"/>
    <w:rsid w:val="008828A5"/>
    <w:rsid w:val="008A4D5E"/>
    <w:rsid w:val="008B30C6"/>
    <w:rsid w:val="008B5673"/>
    <w:rsid w:val="008B611C"/>
    <w:rsid w:val="008B6B82"/>
    <w:rsid w:val="008C59F1"/>
    <w:rsid w:val="008D1907"/>
    <w:rsid w:val="008D1E70"/>
    <w:rsid w:val="008D2A54"/>
    <w:rsid w:val="008D3AE2"/>
    <w:rsid w:val="008D53BC"/>
    <w:rsid w:val="008F51DA"/>
    <w:rsid w:val="0090215E"/>
    <w:rsid w:val="009023D3"/>
    <w:rsid w:val="00902FD1"/>
    <w:rsid w:val="00907044"/>
    <w:rsid w:val="00925A25"/>
    <w:rsid w:val="0092656E"/>
    <w:rsid w:val="00936357"/>
    <w:rsid w:val="00945D95"/>
    <w:rsid w:val="00947725"/>
    <w:rsid w:val="00951CE8"/>
    <w:rsid w:val="00952163"/>
    <w:rsid w:val="00952F1F"/>
    <w:rsid w:val="00953B7C"/>
    <w:rsid w:val="009628B8"/>
    <w:rsid w:val="009634AF"/>
    <w:rsid w:val="00981031"/>
    <w:rsid w:val="00990BC0"/>
    <w:rsid w:val="0099135E"/>
    <w:rsid w:val="0099731D"/>
    <w:rsid w:val="009A3ABD"/>
    <w:rsid w:val="009C1240"/>
    <w:rsid w:val="009C14FD"/>
    <w:rsid w:val="009C281D"/>
    <w:rsid w:val="009C4517"/>
    <w:rsid w:val="009D1D9F"/>
    <w:rsid w:val="009D2AEE"/>
    <w:rsid w:val="009E3C65"/>
    <w:rsid w:val="009E4D11"/>
    <w:rsid w:val="009E6CCB"/>
    <w:rsid w:val="009F652C"/>
    <w:rsid w:val="00A03D5F"/>
    <w:rsid w:val="00A05B2F"/>
    <w:rsid w:val="00A07508"/>
    <w:rsid w:val="00A169DD"/>
    <w:rsid w:val="00A225AA"/>
    <w:rsid w:val="00A45E22"/>
    <w:rsid w:val="00A57033"/>
    <w:rsid w:val="00A63C47"/>
    <w:rsid w:val="00A646BD"/>
    <w:rsid w:val="00A856F1"/>
    <w:rsid w:val="00A85BC1"/>
    <w:rsid w:val="00A9297F"/>
    <w:rsid w:val="00A9425C"/>
    <w:rsid w:val="00AA12FD"/>
    <w:rsid w:val="00AB37FE"/>
    <w:rsid w:val="00AB5D64"/>
    <w:rsid w:val="00AD55EA"/>
    <w:rsid w:val="00AE054D"/>
    <w:rsid w:val="00AE2B98"/>
    <w:rsid w:val="00AF2307"/>
    <w:rsid w:val="00AF465F"/>
    <w:rsid w:val="00AF4921"/>
    <w:rsid w:val="00B04EA1"/>
    <w:rsid w:val="00B0614B"/>
    <w:rsid w:val="00B062C7"/>
    <w:rsid w:val="00B062C8"/>
    <w:rsid w:val="00B06BE3"/>
    <w:rsid w:val="00B15A01"/>
    <w:rsid w:val="00B1760A"/>
    <w:rsid w:val="00B232BA"/>
    <w:rsid w:val="00B24A60"/>
    <w:rsid w:val="00B31A8F"/>
    <w:rsid w:val="00B42168"/>
    <w:rsid w:val="00B54DFE"/>
    <w:rsid w:val="00B60576"/>
    <w:rsid w:val="00B62335"/>
    <w:rsid w:val="00B71084"/>
    <w:rsid w:val="00B80A1A"/>
    <w:rsid w:val="00B84147"/>
    <w:rsid w:val="00B86ADA"/>
    <w:rsid w:val="00B91301"/>
    <w:rsid w:val="00B96F7F"/>
    <w:rsid w:val="00BA5839"/>
    <w:rsid w:val="00BB58F6"/>
    <w:rsid w:val="00BC1BF7"/>
    <w:rsid w:val="00BE0FB4"/>
    <w:rsid w:val="00BE3045"/>
    <w:rsid w:val="00BE52AB"/>
    <w:rsid w:val="00BF2ED8"/>
    <w:rsid w:val="00C0517B"/>
    <w:rsid w:val="00C05E9A"/>
    <w:rsid w:val="00C23631"/>
    <w:rsid w:val="00C2736F"/>
    <w:rsid w:val="00C35780"/>
    <w:rsid w:val="00C3633D"/>
    <w:rsid w:val="00C378A0"/>
    <w:rsid w:val="00C4356B"/>
    <w:rsid w:val="00C46205"/>
    <w:rsid w:val="00C76A34"/>
    <w:rsid w:val="00C77218"/>
    <w:rsid w:val="00C83D34"/>
    <w:rsid w:val="00C93571"/>
    <w:rsid w:val="00C979BA"/>
    <w:rsid w:val="00CA06E2"/>
    <w:rsid w:val="00CA61C3"/>
    <w:rsid w:val="00CB37D2"/>
    <w:rsid w:val="00CB4BAC"/>
    <w:rsid w:val="00CD60E5"/>
    <w:rsid w:val="00CE1A4F"/>
    <w:rsid w:val="00CF2FB9"/>
    <w:rsid w:val="00D01C1E"/>
    <w:rsid w:val="00D0267E"/>
    <w:rsid w:val="00D174C4"/>
    <w:rsid w:val="00D237C4"/>
    <w:rsid w:val="00D267E6"/>
    <w:rsid w:val="00D27D90"/>
    <w:rsid w:val="00D42163"/>
    <w:rsid w:val="00D43D8A"/>
    <w:rsid w:val="00D502AF"/>
    <w:rsid w:val="00D527EB"/>
    <w:rsid w:val="00D601AC"/>
    <w:rsid w:val="00D6139F"/>
    <w:rsid w:val="00D630B5"/>
    <w:rsid w:val="00D65DBD"/>
    <w:rsid w:val="00D84B91"/>
    <w:rsid w:val="00D84E13"/>
    <w:rsid w:val="00D9475D"/>
    <w:rsid w:val="00D974CD"/>
    <w:rsid w:val="00DB0FA8"/>
    <w:rsid w:val="00DB67CF"/>
    <w:rsid w:val="00DC00F1"/>
    <w:rsid w:val="00DC052A"/>
    <w:rsid w:val="00DD5842"/>
    <w:rsid w:val="00DE4AF9"/>
    <w:rsid w:val="00DF0A3E"/>
    <w:rsid w:val="00DF1907"/>
    <w:rsid w:val="00DF3B99"/>
    <w:rsid w:val="00DF509C"/>
    <w:rsid w:val="00DF59E4"/>
    <w:rsid w:val="00E05E94"/>
    <w:rsid w:val="00E067B1"/>
    <w:rsid w:val="00E100EC"/>
    <w:rsid w:val="00E16EA5"/>
    <w:rsid w:val="00E176DF"/>
    <w:rsid w:val="00E17F25"/>
    <w:rsid w:val="00E22938"/>
    <w:rsid w:val="00E24B80"/>
    <w:rsid w:val="00E26023"/>
    <w:rsid w:val="00E260E8"/>
    <w:rsid w:val="00E40358"/>
    <w:rsid w:val="00E60510"/>
    <w:rsid w:val="00E62DC1"/>
    <w:rsid w:val="00E67123"/>
    <w:rsid w:val="00E7193F"/>
    <w:rsid w:val="00E7329D"/>
    <w:rsid w:val="00E74021"/>
    <w:rsid w:val="00E74619"/>
    <w:rsid w:val="00E748CC"/>
    <w:rsid w:val="00E81003"/>
    <w:rsid w:val="00E81811"/>
    <w:rsid w:val="00E96B21"/>
    <w:rsid w:val="00EA3BCD"/>
    <w:rsid w:val="00EB5F77"/>
    <w:rsid w:val="00EC03DF"/>
    <w:rsid w:val="00EC3395"/>
    <w:rsid w:val="00ED43BF"/>
    <w:rsid w:val="00EE2BEC"/>
    <w:rsid w:val="00EE7816"/>
    <w:rsid w:val="00F003A9"/>
    <w:rsid w:val="00F04906"/>
    <w:rsid w:val="00F051AD"/>
    <w:rsid w:val="00F066F5"/>
    <w:rsid w:val="00F11BF4"/>
    <w:rsid w:val="00F13B5D"/>
    <w:rsid w:val="00F25530"/>
    <w:rsid w:val="00F31249"/>
    <w:rsid w:val="00F33E7E"/>
    <w:rsid w:val="00F414DC"/>
    <w:rsid w:val="00F53773"/>
    <w:rsid w:val="00F53D8B"/>
    <w:rsid w:val="00F64EC4"/>
    <w:rsid w:val="00F66504"/>
    <w:rsid w:val="00F724F2"/>
    <w:rsid w:val="00F73017"/>
    <w:rsid w:val="00F81069"/>
    <w:rsid w:val="00F84D89"/>
    <w:rsid w:val="00F85448"/>
    <w:rsid w:val="00F95809"/>
    <w:rsid w:val="00FA6508"/>
    <w:rsid w:val="00FC0241"/>
    <w:rsid w:val="00FC12C0"/>
    <w:rsid w:val="00FC3D58"/>
    <w:rsid w:val="00FD325A"/>
    <w:rsid w:val="00FD43E8"/>
    <w:rsid w:val="00FD6ED9"/>
    <w:rsid w:val="00FD7F20"/>
    <w:rsid w:val="00FE1C62"/>
    <w:rsid w:val="00FF064C"/>
    <w:rsid w:val="00FF0FD2"/>
    <w:rsid w:val="00FF6A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dddeb,#d0e6e8,#cdd8eb,#cafad0,#c8fceb"/>
    </o:shapedefaults>
    <o:shapelayout v:ext="edit">
      <o:idmap v:ext="edit" data="1"/>
    </o:shapelayout>
  </w:shapeDefaults>
  <w:decimalSymbol w:val="."/>
  <w:listSeparator w:val=","/>
  <w14:docId w14:val="3BA6A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ro-RO"/>
    </w:rPr>
  </w:style>
  <w:style w:type="paragraph" w:styleId="Heading1">
    <w:name w:val="heading 1"/>
    <w:basedOn w:val="Normal"/>
    <w:next w:val="Normal"/>
    <w:link w:val="Heading1Char"/>
    <w:uiPriority w:val="9"/>
    <w:qFormat/>
    <w:rsid w:val="00EE7816"/>
    <w:pPr>
      <w:keepNext/>
      <w:keepLines/>
      <w:spacing w:before="480" w:after="0"/>
      <w:outlineLvl w:val="0"/>
    </w:pPr>
    <w:rPr>
      <w:rFonts w:asciiTheme="majorHAnsi" w:eastAsiaTheme="majorEastAsia" w:hAnsiTheme="majorHAnsi" w:cstheme="majorBidi"/>
      <w:b/>
      <w:bCs/>
      <w:color w:val="A5A5A5" w:themeColor="accent1" w:themeShade="BF"/>
      <w:sz w:val="28"/>
      <w:szCs w:val="28"/>
    </w:rPr>
  </w:style>
  <w:style w:type="paragraph" w:styleId="Heading2">
    <w:name w:val="heading 2"/>
    <w:basedOn w:val="Normal"/>
    <w:next w:val="Normal"/>
    <w:link w:val="Heading2Char"/>
    <w:uiPriority w:val="9"/>
    <w:semiHidden/>
    <w:unhideWhenUsed/>
    <w:qFormat/>
    <w:rsid w:val="002F63C3"/>
    <w:pPr>
      <w:keepNext/>
      <w:keepLines/>
      <w:spacing w:before="200" w:after="0"/>
      <w:outlineLvl w:val="1"/>
    </w:pPr>
    <w:rPr>
      <w:rFonts w:asciiTheme="majorHAnsi" w:eastAsiaTheme="majorEastAsia" w:hAnsiTheme="majorHAnsi" w:cstheme="majorBidi"/>
      <w:b/>
      <w:bCs/>
      <w:color w:val="DDDDD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E7816"/>
    <w:rPr>
      <w:rFonts w:asciiTheme="majorHAnsi" w:eastAsiaTheme="majorEastAsia" w:hAnsiTheme="majorHAnsi" w:cstheme="majorBidi"/>
      <w:b/>
      <w:bCs/>
      <w:color w:val="A5A5A5" w:themeColor="accent1" w:themeShade="BF"/>
      <w:sz w:val="28"/>
      <w:szCs w:val="28"/>
      <w:lang w:val="ro-RO"/>
    </w:rPr>
  </w:style>
  <w:style w:type="paragraph" w:styleId="TOCHeading">
    <w:name w:val="TOC Heading"/>
    <w:basedOn w:val="Heading1"/>
    <w:next w:val="Normal"/>
    <w:uiPriority w:val="39"/>
    <w:unhideWhenUsed/>
    <w:qFormat/>
    <w:rsid w:val="00EE7816"/>
    <w:pPr>
      <w:outlineLvl w:val="9"/>
    </w:pPr>
    <w:rPr>
      <w:lang w:val="en-US" w:eastAsia="ja-JP"/>
    </w:rPr>
  </w:style>
  <w:style w:type="paragraph" w:styleId="BalloonText">
    <w:name w:val="Balloon Text"/>
    <w:basedOn w:val="Normal"/>
    <w:link w:val="BalloonTextChar"/>
    <w:uiPriority w:val="99"/>
    <w:semiHidden/>
    <w:unhideWhenUsed/>
    <w:rsid w:val="00EE78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7816"/>
    <w:rPr>
      <w:rFonts w:ascii="Tahoma" w:hAnsi="Tahoma" w:cs="Tahoma"/>
      <w:sz w:val="16"/>
      <w:szCs w:val="16"/>
      <w:lang w:val="ro-RO"/>
    </w:rPr>
  </w:style>
  <w:style w:type="paragraph" w:styleId="TOC2">
    <w:name w:val="toc 2"/>
    <w:basedOn w:val="Normal"/>
    <w:next w:val="Normal"/>
    <w:autoRedefine/>
    <w:uiPriority w:val="39"/>
    <w:semiHidden/>
    <w:unhideWhenUsed/>
    <w:qFormat/>
    <w:rsid w:val="00EE7816"/>
    <w:pPr>
      <w:spacing w:after="100"/>
      <w:ind w:left="220"/>
    </w:pPr>
    <w:rPr>
      <w:rFonts w:eastAsiaTheme="minorEastAsia"/>
      <w:lang w:val="en-US" w:eastAsia="ja-JP"/>
    </w:rPr>
  </w:style>
  <w:style w:type="paragraph" w:styleId="TOC1">
    <w:name w:val="toc 1"/>
    <w:basedOn w:val="Normal"/>
    <w:next w:val="Normal"/>
    <w:autoRedefine/>
    <w:uiPriority w:val="39"/>
    <w:semiHidden/>
    <w:unhideWhenUsed/>
    <w:qFormat/>
    <w:rsid w:val="00EE7816"/>
    <w:pPr>
      <w:spacing w:after="100"/>
    </w:pPr>
    <w:rPr>
      <w:rFonts w:eastAsiaTheme="minorEastAsia"/>
      <w:lang w:val="en-US" w:eastAsia="ja-JP"/>
    </w:rPr>
  </w:style>
  <w:style w:type="paragraph" w:styleId="TOC3">
    <w:name w:val="toc 3"/>
    <w:basedOn w:val="Normal"/>
    <w:next w:val="Normal"/>
    <w:autoRedefine/>
    <w:uiPriority w:val="39"/>
    <w:semiHidden/>
    <w:unhideWhenUsed/>
    <w:qFormat/>
    <w:rsid w:val="00EE7816"/>
    <w:pPr>
      <w:spacing w:after="100"/>
      <w:ind w:left="440"/>
    </w:pPr>
    <w:rPr>
      <w:rFonts w:eastAsiaTheme="minorEastAsia"/>
      <w:lang w:val="en-US" w:eastAsia="ja-JP"/>
    </w:rPr>
  </w:style>
  <w:style w:type="paragraph" w:styleId="ListParagraph">
    <w:name w:val="List Paragraph"/>
    <w:basedOn w:val="Normal"/>
    <w:uiPriority w:val="34"/>
    <w:qFormat/>
    <w:rsid w:val="00EE7816"/>
    <w:pPr>
      <w:ind w:left="720"/>
      <w:contextualSpacing/>
    </w:pPr>
  </w:style>
  <w:style w:type="table" w:styleId="TableGrid">
    <w:name w:val="Table Grid"/>
    <w:basedOn w:val="TableNormal"/>
    <w:uiPriority w:val="59"/>
    <w:rsid w:val="00EE78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List-Accent1">
    <w:name w:val="Light List Accent 1"/>
    <w:basedOn w:val="TableNormal"/>
    <w:uiPriority w:val="61"/>
    <w:rsid w:val="00EE7816"/>
    <w:pPr>
      <w:spacing w:after="0" w:line="240" w:lineRule="auto"/>
    </w:pPr>
    <w:tblPr>
      <w:tblStyleRowBandSize w:val="1"/>
      <w:tblStyleColBandSize w:val="1"/>
      <w:tblInd w:w="0" w:type="dxa"/>
      <w:tblBorders>
        <w:top w:val="single" w:sz="8" w:space="0" w:color="DDDDDD" w:themeColor="accent1"/>
        <w:left w:val="single" w:sz="8" w:space="0" w:color="DDDDDD" w:themeColor="accent1"/>
        <w:bottom w:val="single" w:sz="8" w:space="0" w:color="DDDDDD" w:themeColor="accent1"/>
        <w:right w:val="single" w:sz="8" w:space="0" w:color="DDDDD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DDDDDD" w:themeFill="accent1"/>
      </w:tcPr>
    </w:tblStylePr>
    <w:tblStylePr w:type="lastRow">
      <w:pPr>
        <w:spacing w:before="0" w:after="0" w:line="240" w:lineRule="auto"/>
      </w:pPr>
      <w:rPr>
        <w:b/>
        <w:bCs/>
      </w:rPr>
      <w:tblPr/>
      <w:tcPr>
        <w:tcBorders>
          <w:top w:val="double" w:sz="6" w:space="0" w:color="DDDDDD" w:themeColor="accent1"/>
          <w:left w:val="single" w:sz="8" w:space="0" w:color="DDDDDD" w:themeColor="accent1"/>
          <w:bottom w:val="single" w:sz="8" w:space="0" w:color="DDDDDD" w:themeColor="accent1"/>
          <w:right w:val="single" w:sz="8" w:space="0" w:color="DDDDDD" w:themeColor="accent1"/>
        </w:tcBorders>
      </w:tcPr>
    </w:tblStylePr>
    <w:tblStylePr w:type="firstCol">
      <w:rPr>
        <w:b/>
        <w:bCs/>
      </w:rPr>
    </w:tblStylePr>
    <w:tblStylePr w:type="lastCol">
      <w:rPr>
        <w:b/>
        <w:bCs/>
      </w:rPr>
    </w:tblStylePr>
    <w:tblStylePr w:type="band1Vert">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tcPr>
    </w:tblStylePr>
    <w:tblStylePr w:type="band1Horz">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tcPr>
    </w:tblStylePr>
  </w:style>
  <w:style w:type="character" w:customStyle="1" w:styleId="Heading2Char">
    <w:name w:val="Heading 2 Char"/>
    <w:basedOn w:val="DefaultParagraphFont"/>
    <w:link w:val="Heading2"/>
    <w:uiPriority w:val="9"/>
    <w:semiHidden/>
    <w:rsid w:val="002F63C3"/>
    <w:rPr>
      <w:rFonts w:asciiTheme="majorHAnsi" w:eastAsiaTheme="majorEastAsia" w:hAnsiTheme="majorHAnsi" w:cstheme="majorBidi"/>
      <w:b/>
      <w:bCs/>
      <w:color w:val="DDDDDD" w:themeColor="accent1"/>
      <w:sz w:val="26"/>
      <w:szCs w:val="26"/>
      <w:lang w:val="ro-RO"/>
    </w:rPr>
  </w:style>
  <w:style w:type="paragraph" w:styleId="FootnoteText">
    <w:name w:val="footnote text"/>
    <w:basedOn w:val="Normal"/>
    <w:link w:val="FootnoteTextChar"/>
    <w:uiPriority w:val="99"/>
    <w:semiHidden/>
    <w:unhideWhenUsed/>
    <w:rsid w:val="00AF230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F2307"/>
    <w:rPr>
      <w:sz w:val="20"/>
      <w:szCs w:val="20"/>
      <w:lang w:val="ro-RO"/>
    </w:rPr>
  </w:style>
  <w:style w:type="character" w:styleId="FootnoteReference">
    <w:name w:val="footnote reference"/>
    <w:basedOn w:val="DefaultParagraphFont"/>
    <w:uiPriority w:val="99"/>
    <w:semiHidden/>
    <w:unhideWhenUsed/>
    <w:rsid w:val="00AF2307"/>
    <w:rPr>
      <w:vertAlign w:val="superscript"/>
    </w:rPr>
  </w:style>
  <w:style w:type="paragraph" w:customStyle="1" w:styleId="AddressTR">
    <w:name w:val="AddressTR"/>
    <w:basedOn w:val="Normal"/>
    <w:next w:val="Normal"/>
    <w:rsid w:val="00AF2307"/>
    <w:pPr>
      <w:spacing w:after="720" w:line="240" w:lineRule="auto"/>
      <w:ind w:left="5103"/>
    </w:pPr>
    <w:rPr>
      <w:rFonts w:ascii="Calibri" w:eastAsia="Times New Roman" w:hAnsi="Calibri" w:cs="Times New Roman"/>
      <w:sz w:val="24"/>
      <w:szCs w:val="24"/>
      <w:lang w:val="en-GB" w:eastAsia="en-GB"/>
    </w:rPr>
  </w:style>
  <w:style w:type="paragraph" w:styleId="Header">
    <w:name w:val="header"/>
    <w:basedOn w:val="Normal"/>
    <w:link w:val="HeaderChar"/>
    <w:uiPriority w:val="99"/>
    <w:unhideWhenUsed/>
    <w:rsid w:val="00D026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267E"/>
    <w:rPr>
      <w:lang w:val="ro-RO"/>
    </w:rPr>
  </w:style>
  <w:style w:type="paragraph" w:styleId="Footer">
    <w:name w:val="footer"/>
    <w:basedOn w:val="Normal"/>
    <w:link w:val="FooterChar"/>
    <w:uiPriority w:val="99"/>
    <w:unhideWhenUsed/>
    <w:rsid w:val="00D026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267E"/>
    <w:rPr>
      <w:lang w:val="ro-RO"/>
    </w:rPr>
  </w:style>
  <w:style w:type="table" w:styleId="LightShading-Accent3">
    <w:name w:val="Light Shading Accent 3"/>
    <w:basedOn w:val="TableNormal"/>
    <w:uiPriority w:val="60"/>
    <w:rsid w:val="00B232BA"/>
    <w:pPr>
      <w:spacing w:after="0" w:line="240" w:lineRule="auto"/>
    </w:pPr>
    <w:rPr>
      <w:color w:val="707070" w:themeColor="accent3" w:themeShade="BF"/>
    </w:rPr>
    <w:tblPr>
      <w:tblStyleRowBandSize w:val="1"/>
      <w:tblStyleColBandSize w:val="1"/>
      <w:tblInd w:w="0" w:type="dxa"/>
      <w:tblBorders>
        <w:top w:val="single" w:sz="8" w:space="0" w:color="969696" w:themeColor="accent3"/>
        <w:bottom w:val="single" w:sz="8" w:space="0" w:color="969696"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69696" w:themeColor="accent3"/>
          <w:left w:val="nil"/>
          <w:bottom w:val="single" w:sz="8" w:space="0" w:color="969696" w:themeColor="accent3"/>
          <w:right w:val="nil"/>
          <w:insideH w:val="nil"/>
          <w:insideV w:val="nil"/>
        </w:tcBorders>
      </w:tcPr>
    </w:tblStylePr>
    <w:tblStylePr w:type="lastRow">
      <w:pPr>
        <w:spacing w:before="0" w:after="0" w:line="240" w:lineRule="auto"/>
      </w:pPr>
      <w:rPr>
        <w:b/>
        <w:bCs/>
      </w:rPr>
      <w:tblPr/>
      <w:tcPr>
        <w:tcBorders>
          <w:top w:val="single" w:sz="8" w:space="0" w:color="969696" w:themeColor="accent3"/>
          <w:left w:val="nil"/>
          <w:bottom w:val="single" w:sz="8" w:space="0" w:color="969696"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5E5" w:themeFill="accent3" w:themeFillTint="3F"/>
      </w:tcPr>
    </w:tblStylePr>
    <w:tblStylePr w:type="band1Horz">
      <w:tblPr/>
      <w:tcPr>
        <w:tcBorders>
          <w:left w:val="nil"/>
          <w:right w:val="nil"/>
          <w:insideH w:val="nil"/>
          <w:insideV w:val="nil"/>
        </w:tcBorders>
        <w:shd w:val="clear" w:color="auto" w:fill="E5E5E5" w:themeFill="accent3" w:themeFillTint="3F"/>
      </w:tcPr>
    </w:tblStylePr>
  </w:style>
  <w:style w:type="table" w:styleId="LightShading-Accent5">
    <w:name w:val="Light Shading Accent 5"/>
    <w:basedOn w:val="TableNormal"/>
    <w:uiPriority w:val="60"/>
    <w:rsid w:val="00B232BA"/>
    <w:pPr>
      <w:spacing w:after="0" w:line="240" w:lineRule="auto"/>
    </w:pPr>
    <w:rPr>
      <w:color w:val="474747" w:themeColor="accent5" w:themeShade="BF"/>
    </w:rPr>
    <w:tblPr>
      <w:tblStyleRowBandSize w:val="1"/>
      <w:tblStyleColBandSize w:val="1"/>
      <w:tblInd w:w="0" w:type="dxa"/>
      <w:tblBorders>
        <w:top w:val="single" w:sz="8" w:space="0" w:color="5F5F5F" w:themeColor="accent5"/>
        <w:bottom w:val="single" w:sz="8" w:space="0" w:color="5F5F5F"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la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left w:val="nil"/>
          <w:right w:val="nil"/>
          <w:insideH w:val="nil"/>
          <w:insideV w:val="nil"/>
        </w:tcBorders>
        <w:shd w:val="clear" w:color="auto" w:fill="D7D7D7" w:themeFill="accent5" w:themeFillTint="3F"/>
      </w:tcPr>
    </w:tblStylePr>
  </w:style>
  <w:style w:type="table" w:styleId="LightGrid-Accent1">
    <w:name w:val="Light Grid Accent 1"/>
    <w:basedOn w:val="TableNormal"/>
    <w:uiPriority w:val="62"/>
    <w:rsid w:val="00B232BA"/>
    <w:pPr>
      <w:spacing w:after="0" w:line="240" w:lineRule="auto"/>
    </w:pPr>
    <w:tblPr>
      <w:tblStyleRowBandSize w:val="1"/>
      <w:tblStyleColBandSize w:val="1"/>
      <w:tblInd w:w="0" w:type="dxa"/>
      <w:tbl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DDDDDD" w:themeColor="accent1"/>
          <w:left w:val="single" w:sz="8" w:space="0" w:color="DDDDDD" w:themeColor="accent1"/>
          <w:bottom w:val="single" w:sz="18" w:space="0" w:color="DDDDDD" w:themeColor="accent1"/>
          <w:right w:val="single" w:sz="8" w:space="0" w:color="DDDDDD" w:themeColor="accent1"/>
          <w:insideH w:val="nil"/>
          <w:insideV w:val="single" w:sz="8" w:space="0" w:color="DDDDD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DDDDD" w:themeColor="accent1"/>
          <w:left w:val="single" w:sz="8" w:space="0" w:color="DDDDDD" w:themeColor="accent1"/>
          <w:bottom w:val="single" w:sz="8" w:space="0" w:color="DDDDDD" w:themeColor="accent1"/>
          <w:right w:val="single" w:sz="8" w:space="0" w:color="DDDDDD" w:themeColor="accent1"/>
          <w:insideH w:val="nil"/>
          <w:insideV w:val="single" w:sz="8" w:space="0" w:color="DDDDD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tcPr>
    </w:tblStylePr>
    <w:tblStylePr w:type="band1Vert">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shd w:val="clear" w:color="auto" w:fill="F6F6F6" w:themeFill="accent1" w:themeFillTint="3F"/>
      </w:tcPr>
    </w:tblStylePr>
    <w:tblStylePr w:type="band1Horz">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V w:val="single" w:sz="8" w:space="0" w:color="DDDDDD" w:themeColor="accent1"/>
        </w:tcBorders>
        <w:shd w:val="clear" w:color="auto" w:fill="F6F6F6" w:themeFill="accent1" w:themeFillTint="3F"/>
      </w:tcPr>
    </w:tblStylePr>
    <w:tblStylePr w:type="band2Horz">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V w:val="single" w:sz="8" w:space="0" w:color="DDDDDD" w:themeColor="accent1"/>
        </w:tcBorders>
      </w:tcPr>
    </w:tblStylePr>
  </w:style>
  <w:style w:type="character" w:styleId="Hyperlink">
    <w:name w:val="Hyperlink"/>
    <w:basedOn w:val="DefaultParagraphFont"/>
    <w:uiPriority w:val="99"/>
    <w:unhideWhenUsed/>
    <w:rsid w:val="006F5AE3"/>
    <w:rPr>
      <w:color w:val="5F5F5F" w:themeColor="hyperlink"/>
      <w:u w:val="single"/>
    </w:rPr>
  </w:style>
  <w:style w:type="paragraph" w:customStyle="1" w:styleId="Guidelines5">
    <w:name w:val="Guidelines 5"/>
    <w:basedOn w:val="Normal"/>
    <w:rsid w:val="00FF6A93"/>
    <w:pPr>
      <w:keepNext/>
      <w:spacing w:before="240" w:after="240" w:line="240" w:lineRule="auto"/>
      <w:jc w:val="both"/>
    </w:pPr>
    <w:rPr>
      <w:rFonts w:ascii="Verdana" w:eastAsia="Times New Roman" w:hAnsi="Verdana" w:cs="Times New Roman"/>
      <w:b/>
      <w:noProof/>
      <w:snapToGrid w:val="0"/>
      <w:sz w:val="24"/>
      <w:szCs w:val="20"/>
    </w:rPr>
  </w:style>
  <w:style w:type="paragraph" w:customStyle="1" w:styleId="Bulletletter">
    <w:name w:val="Bullet letter"/>
    <w:basedOn w:val="Normal"/>
    <w:rsid w:val="00FF6A93"/>
    <w:pPr>
      <w:keepNext/>
      <w:numPr>
        <w:numId w:val="21"/>
      </w:numPr>
      <w:tabs>
        <w:tab w:val="left" w:pos="-3402"/>
        <w:tab w:val="num" w:pos="567"/>
      </w:tabs>
      <w:spacing w:after="120" w:line="240" w:lineRule="auto"/>
      <w:ind w:left="567" w:hanging="567"/>
      <w:jc w:val="both"/>
    </w:pPr>
    <w:rPr>
      <w:rFonts w:ascii="Arial" w:eastAsia="Times New Roman" w:hAnsi="Arial" w:cs="Times New Roman"/>
      <w:szCs w:val="20"/>
      <w:lang w:val="en-IE"/>
    </w:rPr>
  </w:style>
  <w:style w:type="character" w:styleId="CommentReference">
    <w:name w:val="annotation reference"/>
    <w:basedOn w:val="DefaultParagraphFont"/>
    <w:uiPriority w:val="99"/>
    <w:semiHidden/>
    <w:unhideWhenUsed/>
    <w:rsid w:val="001522C0"/>
    <w:rPr>
      <w:sz w:val="16"/>
      <w:szCs w:val="16"/>
    </w:rPr>
  </w:style>
  <w:style w:type="paragraph" w:styleId="CommentText">
    <w:name w:val="annotation text"/>
    <w:basedOn w:val="Normal"/>
    <w:link w:val="CommentTextChar"/>
    <w:uiPriority w:val="99"/>
    <w:semiHidden/>
    <w:unhideWhenUsed/>
    <w:rsid w:val="001522C0"/>
    <w:pPr>
      <w:spacing w:line="240" w:lineRule="auto"/>
    </w:pPr>
    <w:rPr>
      <w:sz w:val="20"/>
      <w:szCs w:val="20"/>
    </w:rPr>
  </w:style>
  <w:style w:type="character" w:customStyle="1" w:styleId="CommentTextChar">
    <w:name w:val="Comment Text Char"/>
    <w:basedOn w:val="DefaultParagraphFont"/>
    <w:link w:val="CommentText"/>
    <w:uiPriority w:val="99"/>
    <w:semiHidden/>
    <w:rsid w:val="001522C0"/>
    <w:rPr>
      <w:sz w:val="20"/>
      <w:szCs w:val="20"/>
      <w:lang w:val="ro-RO"/>
    </w:rPr>
  </w:style>
  <w:style w:type="paragraph" w:styleId="CommentSubject">
    <w:name w:val="annotation subject"/>
    <w:basedOn w:val="CommentText"/>
    <w:next w:val="CommentText"/>
    <w:link w:val="CommentSubjectChar"/>
    <w:uiPriority w:val="99"/>
    <w:semiHidden/>
    <w:unhideWhenUsed/>
    <w:rsid w:val="001522C0"/>
    <w:rPr>
      <w:b/>
      <w:bCs/>
    </w:rPr>
  </w:style>
  <w:style w:type="character" w:customStyle="1" w:styleId="CommentSubjectChar">
    <w:name w:val="Comment Subject Char"/>
    <w:basedOn w:val="CommentTextChar"/>
    <w:link w:val="CommentSubject"/>
    <w:uiPriority w:val="99"/>
    <w:semiHidden/>
    <w:rsid w:val="001522C0"/>
    <w:rPr>
      <w:b/>
      <w:bCs/>
      <w:sz w:val="20"/>
      <w:szCs w:val="20"/>
      <w:lang w:val="ro-RO"/>
    </w:rPr>
  </w:style>
  <w:style w:type="paragraph" w:customStyle="1" w:styleId="Default">
    <w:name w:val="Default"/>
    <w:rsid w:val="0099731D"/>
    <w:pPr>
      <w:autoSpaceDE w:val="0"/>
      <w:autoSpaceDN w:val="0"/>
      <w:adjustRightInd w:val="0"/>
      <w:spacing w:after="0" w:line="240" w:lineRule="auto"/>
    </w:pPr>
    <w:rPr>
      <w:rFonts w:ascii="Calibri" w:hAnsi="Calibri" w:cs="Calibri"/>
      <w:color w:val="000000"/>
      <w:sz w:val="24"/>
      <w:szCs w:val="24"/>
    </w:rPr>
  </w:style>
  <w:style w:type="table" w:styleId="LightShading-Accent1">
    <w:name w:val="Light Shading Accent 1"/>
    <w:basedOn w:val="TableNormal"/>
    <w:uiPriority w:val="60"/>
    <w:rsid w:val="00F73017"/>
    <w:pPr>
      <w:spacing w:after="0" w:line="240" w:lineRule="auto"/>
    </w:pPr>
    <w:rPr>
      <w:color w:val="A5A5A5" w:themeColor="accent1" w:themeShade="BF"/>
    </w:rPr>
    <w:tblPr>
      <w:tblStyleRowBandSize w:val="1"/>
      <w:tblStyleColBandSize w:val="1"/>
      <w:tblInd w:w="0" w:type="dxa"/>
      <w:tblBorders>
        <w:top w:val="single" w:sz="8" w:space="0" w:color="DDDDDD" w:themeColor="accent1"/>
        <w:bottom w:val="single" w:sz="8" w:space="0" w:color="DDDDD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DDDDDD" w:themeColor="accent1"/>
          <w:left w:val="nil"/>
          <w:bottom w:val="single" w:sz="8" w:space="0" w:color="DDDDDD" w:themeColor="accent1"/>
          <w:right w:val="nil"/>
          <w:insideH w:val="nil"/>
          <w:insideV w:val="nil"/>
        </w:tcBorders>
      </w:tcPr>
    </w:tblStylePr>
    <w:tblStylePr w:type="lastRow">
      <w:pPr>
        <w:spacing w:before="0" w:after="0" w:line="240" w:lineRule="auto"/>
      </w:pPr>
      <w:rPr>
        <w:b/>
        <w:bCs/>
      </w:rPr>
      <w:tblPr/>
      <w:tcPr>
        <w:tcBorders>
          <w:top w:val="single" w:sz="8" w:space="0" w:color="DDDDDD" w:themeColor="accent1"/>
          <w:left w:val="nil"/>
          <w:bottom w:val="single" w:sz="8" w:space="0" w:color="DDDDD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6F6F6" w:themeFill="accent1" w:themeFillTint="3F"/>
      </w:tcPr>
    </w:tblStylePr>
    <w:tblStylePr w:type="band1Horz">
      <w:tblPr/>
      <w:tcPr>
        <w:tcBorders>
          <w:left w:val="nil"/>
          <w:right w:val="nil"/>
          <w:insideH w:val="nil"/>
          <w:insideV w:val="nil"/>
        </w:tcBorders>
        <w:shd w:val="clear" w:color="auto" w:fill="F6F6F6" w:themeFill="accent1"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ro-RO"/>
    </w:rPr>
  </w:style>
  <w:style w:type="paragraph" w:styleId="Heading1">
    <w:name w:val="heading 1"/>
    <w:basedOn w:val="Normal"/>
    <w:next w:val="Normal"/>
    <w:link w:val="Heading1Char"/>
    <w:uiPriority w:val="9"/>
    <w:qFormat/>
    <w:rsid w:val="00EE7816"/>
    <w:pPr>
      <w:keepNext/>
      <w:keepLines/>
      <w:spacing w:before="480" w:after="0"/>
      <w:outlineLvl w:val="0"/>
    </w:pPr>
    <w:rPr>
      <w:rFonts w:asciiTheme="majorHAnsi" w:eastAsiaTheme="majorEastAsia" w:hAnsiTheme="majorHAnsi" w:cstheme="majorBidi"/>
      <w:b/>
      <w:bCs/>
      <w:color w:val="A5A5A5" w:themeColor="accent1" w:themeShade="BF"/>
      <w:sz w:val="28"/>
      <w:szCs w:val="28"/>
    </w:rPr>
  </w:style>
  <w:style w:type="paragraph" w:styleId="Heading2">
    <w:name w:val="heading 2"/>
    <w:basedOn w:val="Normal"/>
    <w:next w:val="Normal"/>
    <w:link w:val="Heading2Char"/>
    <w:uiPriority w:val="9"/>
    <w:semiHidden/>
    <w:unhideWhenUsed/>
    <w:qFormat/>
    <w:rsid w:val="002F63C3"/>
    <w:pPr>
      <w:keepNext/>
      <w:keepLines/>
      <w:spacing w:before="200" w:after="0"/>
      <w:outlineLvl w:val="1"/>
    </w:pPr>
    <w:rPr>
      <w:rFonts w:asciiTheme="majorHAnsi" w:eastAsiaTheme="majorEastAsia" w:hAnsiTheme="majorHAnsi" w:cstheme="majorBidi"/>
      <w:b/>
      <w:bCs/>
      <w:color w:val="DDDDD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E7816"/>
    <w:rPr>
      <w:rFonts w:asciiTheme="majorHAnsi" w:eastAsiaTheme="majorEastAsia" w:hAnsiTheme="majorHAnsi" w:cstheme="majorBidi"/>
      <w:b/>
      <w:bCs/>
      <w:color w:val="A5A5A5" w:themeColor="accent1" w:themeShade="BF"/>
      <w:sz w:val="28"/>
      <w:szCs w:val="28"/>
      <w:lang w:val="ro-RO"/>
    </w:rPr>
  </w:style>
  <w:style w:type="paragraph" w:styleId="TOCHeading">
    <w:name w:val="TOC Heading"/>
    <w:basedOn w:val="Heading1"/>
    <w:next w:val="Normal"/>
    <w:uiPriority w:val="39"/>
    <w:unhideWhenUsed/>
    <w:qFormat/>
    <w:rsid w:val="00EE7816"/>
    <w:pPr>
      <w:outlineLvl w:val="9"/>
    </w:pPr>
    <w:rPr>
      <w:lang w:val="en-US" w:eastAsia="ja-JP"/>
    </w:rPr>
  </w:style>
  <w:style w:type="paragraph" w:styleId="BalloonText">
    <w:name w:val="Balloon Text"/>
    <w:basedOn w:val="Normal"/>
    <w:link w:val="BalloonTextChar"/>
    <w:uiPriority w:val="99"/>
    <w:semiHidden/>
    <w:unhideWhenUsed/>
    <w:rsid w:val="00EE78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7816"/>
    <w:rPr>
      <w:rFonts w:ascii="Tahoma" w:hAnsi="Tahoma" w:cs="Tahoma"/>
      <w:sz w:val="16"/>
      <w:szCs w:val="16"/>
      <w:lang w:val="ro-RO"/>
    </w:rPr>
  </w:style>
  <w:style w:type="paragraph" w:styleId="TOC2">
    <w:name w:val="toc 2"/>
    <w:basedOn w:val="Normal"/>
    <w:next w:val="Normal"/>
    <w:autoRedefine/>
    <w:uiPriority w:val="39"/>
    <w:semiHidden/>
    <w:unhideWhenUsed/>
    <w:qFormat/>
    <w:rsid w:val="00EE7816"/>
    <w:pPr>
      <w:spacing w:after="100"/>
      <w:ind w:left="220"/>
    </w:pPr>
    <w:rPr>
      <w:rFonts w:eastAsiaTheme="minorEastAsia"/>
      <w:lang w:val="en-US" w:eastAsia="ja-JP"/>
    </w:rPr>
  </w:style>
  <w:style w:type="paragraph" w:styleId="TOC1">
    <w:name w:val="toc 1"/>
    <w:basedOn w:val="Normal"/>
    <w:next w:val="Normal"/>
    <w:autoRedefine/>
    <w:uiPriority w:val="39"/>
    <w:semiHidden/>
    <w:unhideWhenUsed/>
    <w:qFormat/>
    <w:rsid w:val="00EE7816"/>
    <w:pPr>
      <w:spacing w:after="100"/>
    </w:pPr>
    <w:rPr>
      <w:rFonts w:eastAsiaTheme="minorEastAsia"/>
      <w:lang w:val="en-US" w:eastAsia="ja-JP"/>
    </w:rPr>
  </w:style>
  <w:style w:type="paragraph" w:styleId="TOC3">
    <w:name w:val="toc 3"/>
    <w:basedOn w:val="Normal"/>
    <w:next w:val="Normal"/>
    <w:autoRedefine/>
    <w:uiPriority w:val="39"/>
    <w:semiHidden/>
    <w:unhideWhenUsed/>
    <w:qFormat/>
    <w:rsid w:val="00EE7816"/>
    <w:pPr>
      <w:spacing w:after="100"/>
      <w:ind w:left="440"/>
    </w:pPr>
    <w:rPr>
      <w:rFonts w:eastAsiaTheme="minorEastAsia"/>
      <w:lang w:val="en-US" w:eastAsia="ja-JP"/>
    </w:rPr>
  </w:style>
  <w:style w:type="paragraph" w:styleId="ListParagraph">
    <w:name w:val="List Paragraph"/>
    <w:basedOn w:val="Normal"/>
    <w:uiPriority w:val="34"/>
    <w:qFormat/>
    <w:rsid w:val="00EE7816"/>
    <w:pPr>
      <w:ind w:left="720"/>
      <w:contextualSpacing/>
    </w:pPr>
  </w:style>
  <w:style w:type="table" w:styleId="TableGrid">
    <w:name w:val="Table Grid"/>
    <w:basedOn w:val="TableNormal"/>
    <w:uiPriority w:val="59"/>
    <w:rsid w:val="00EE78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List-Accent1">
    <w:name w:val="Light List Accent 1"/>
    <w:basedOn w:val="TableNormal"/>
    <w:uiPriority w:val="61"/>
    <w:rsid w:val="00EE7816"/>
    <w:pPr>
      <w:spacing w:after="0" w:line="240" w:lineRule="auto"/>
    </w:pPr>
    <w:tblPr>
      <w:tblStyleRowBandSize w:val="1"/>
      <w:tblStyleColBandSize w:val="1"/>
      <w:tblInd w:w="0" w:type="dxa"/>
      <w:tblBorders>
        <w:top w:val="single" w:sz="8" w:space="0" w:color="DDDDDD" w:themeColor="accent1"/>
        <w:left w:val="single" w:sz="8" w:space="0" w:color="DDDDDD" w:themeColor="accent1"/>
        <w:bottom w:val="single" w:sz="8" w:space="0" w:color="DDDDDD" w:themeColor="accent1"/>
        <w:right w:val="single" w:sz="8" w:space="0" w:color="DDDDD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DDDDDD" w:themeFill="accent1"/>
      </w:tcPr>
    </w:tblStylePr>
    <w:tblStylePr w:type="lastRow">
      <w:pPr>
        <w:spacing w:before="0" w:after="0" w:line="240" w:lineRule="auto"/>
      </w:pPr>
      <w:rPr>
        <w:b/>
        <w:bCs/>
      </w:rPr>
      <w:tblPr/>
      <w:tcPr>
        <w:tcBorders>
          <w:top w:val="double" w:sz="6" w:space="0" w:color="DDDDDD" w:themeColor="accent1"/>
          <w:left w:val="single" w:sz="8" w:space="0" w:color="DDDDDD" w:themeColor="accent1"/>
          <w:bottom w:val="single" w:sz="8" w:space="0" w:color="DDDDDD" w:themeColor="accent1"/>
          <w:right w:val="single" w:sz="8" w:space="0" w:color="DDDDDD" w:themeColor="accent1"/>
        </w:tcBorders>
      </w:tcPr>
    </w:tblStylePr>
    <w:tblStylePr w:type="firstCol">
      <w:rPr>
        <w:b/>
        <w:bCs/>
      </w:rPr>
    </w:tblStylePr>
    <w:tblStylePr w:type="lastCol">
      <w:rPr>
        <w:b/>
        <w:bCs/>
      </w:rPr>
    </w:tblStylePr>
    <w:tblStylePr w:type="band1Vert">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tcPr>
    </w:tblStylePr>
    <w:tblStylePr w:type="band1Horz">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tcPr>
    </w:tblStylePr>
  </w:style>
  <w:style w:type="character" w:customStyle="1" w:styleId="Heading2Char">
    <w:name w:val="Heading 2 Char"/>
    <w:basedOn w:val="DefaultParagraphFont"/>
    <w:link w:val="Heading2"/>
    <w:uiPriority w:val="9"/>
    <w:semiHidden/>
    <w:rsid w:val="002F63C3"/>
    <w:rPr>
      <w:rFonts w:asciiTheme="majorHAnsi" w:eastAsiaTheme="majorEastAsia" w:hAnsiTheme="majorHAnsi" w:cstheme="majorBidi"/>
      <w:b/>
      <w:bCs/>
      <w:color w:val="DDDDDD" w:themeColor="accent1"/>
      <w:sz w:val="26"/>
      <w:szCs w:val="26"/>
      <w:lang w:val="ro-RO"/>
    </w:rPr>
  </w:style>
  <w:style w:type="paragraph" w:styleId="FootnoteText">
    <w:name w:val="footnote text"/>
    <w:basedOn w:val="Normal"/>
    <w:link w:val="FootnoteTextChar"/>
    <w:uiPriority w:val="99"/>
    <w:semiHidden/>
    <w:unhideWhenUsed/>
    <w:rsid w:val="00AF230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F2307"/>
    <w:rPr>
      <w:sz w:val="20"/>
      <w:szCs w:val="20"/>
      <w:lang w:val="ro-RO"/>
    </w:rPr>
  </w:style>
  <w:style w:type="character" w:styleId="FootnoteReference">
    <w:name w:val="footnote reference"/>
    <w:basedOn w:val="DefaultParagraphFont"/>
    <w:uiPriority w:val="99"/>
    <w:semiHidden/>
    <w:unhideWhenUsed/>
    <w:rsid w:val="00AF2307"/>
    <w:rPr>
      <w:vertAlign w:val="superscript"/>
    </w:rPr>
  </w:style>
  <w:style w:type="paragraph" w:customStyle="1" w:styleId="AddressTR">
    <w:name w:val="AddressTR"/>
    <w:basedOn w:val="Normal"/>
    <w:next w:val="Normal"/>
    <w:rsid w:val="00AF2307"/>
    <w:pPr>
      <w:spacing w:after="720" w:line="240" w:lineRule="auto"/>
      <w:ind w:left="5103"/>
    </w:pPr>
    <w:rPr>
      <w:rFonts w:ascii="Calibri" w:eastAsia="Times New Roman" w:hAnsi="Calibri" w:cs="Times New Roman"/>
      <w:sz w:val="24"/>
      <w:szCs w:val="24"/>
      <w:lang w:val="en-GB" w:eastAsia="en-GB"/>
    </w:rPr>
  </w:style>
  <w:style w:type="paragraph" w:styleId="Header">
    <w:name w:val="header"/>
    <w:basedOn w:val="Normal"/>
    <w:link w:val="HeaderChar"/>
    <w:uiPriority w:val="99"/>
    <w:unhideWhenUsed/>
    <w:rsid w:val="00D026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267E"/>
    <w:rPr>
      <w:lang w:val="ro-RO"/>
    </w:rPr>
  </w:style>
  <w:style w:type="paragraph" w:styleId="Footer">
    <w:name w:val="footer"/>
    <w:basedOn w:val="Normal"/>
    <w:link w:val="FooterChar"/>
    <w:uiPriority w:val="99"/>
    <w:unhideWhenUsed/>
    <w:rsid w:val="00D026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267E"/>
    <w:rPr>
      <w:lang w:val="ro-RO"/>
    </w:rPr>
  </w:style>
  <w:style w:type="table" w:styleId="LightShading-Accent3">
    <w:name w:val="Light Shading Accent 3"/>
    <w:basedOn w:val="TableNormal"/>
    <w:uiPriority w:val="60"/>
    <w:rsid w:val="00B232BA"/>
    <w:pPr>
      <w:spacing w:after="0" w:line="240" w:lineRule="auto"/>
    </w:pPr>
    <w:rPr>
      <w:color w:val="707070" w:themeColor="accent3" w:themeShade="BF"/>
    </w:rPr>
    <w:tblPr>
      <w:tblStyleRowBandSize w:val="1"/>
      <w:tblStyleColBandSize w:val="1"/>
      <w:tblInd w:w="0" w:type="dxa"/>
      <w:tblBorders>
        <w:top w:val="single" w:sz="8" w:space="0" w:color="969696" w:themeColor="accent3"/>
        <w:bottom w:val="single" w:sz="8" w:space="0" w:color="969696"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69696" w:themeColor="accent3"/>
          <w:left w:val="nil"/>
          <w:bottom w:val="single" w:sz="8" w:space="0" w:color="969696" w:themeColor="accent3"/>
          <w:right w:val="nil"/>
          <w:insideH w:val="nil"/>
          <w:insideV w:val="nil"/>
        </w:tcBorders>
      </w:tcPr>
    </w:tblStylePr>
    <w:tblStylePr w:type="lastRow">
      <w:pPr>
        <w:spacing w:before="0" w:after="0" w:line="240" w:lineRule="auto"/>
      </w:pPr>
      <w:rPr>
        <w:b/>
        <w:bCs/>
      </w:rPr>
      <w:tblPr/>
      <w:tcPr>
        <w:tcBorders>
          <w:top w:val="single" w:sz="8" w:space="0" w:color="969696" w:themeColor="accent3"/>
          <w:left w:val="nil"/>
          <w:bottom w:val="single" w:sz="8" w:space="0" w:color="969696"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5E5" w:themeFill="accent3" w:themeFillTint="3F"/>
      </w:tcPr>
    </w:tblStylePr>
    <w:tblStylePr w:type="band1Horz">
      <w:tblPr/>
      <w:tcPr>
        <w:tcBorders>
          <w:left w:val="nil"/>
          <w:right w:val="nil"/>
          <w:insideH w:val="nil"/>
          <w:insideV w:val="nil"/>
        </w:tcBorders>
        <w:shd w:val="clear" w:color="auto" w:fill="E5E5E5" w:themeFill="accent3" w:themeFillTint="3F"/>
      </w:tcPr>
    </w:tblStylePr>
  </w:style>
  <w:style w:type="table" w:styleId="LightShading-Accent5">
    <w:name w:val="Light Shading Accent 5"/>
    <w:basedOn w:val="TableNormal"/>
    <w:uiPriority w:val="60"/>
    <w:rsid w:val="00B232BA"/>
    <w:pPr>
      <w:spacing w:after="0" w:line="240" w:lineRule="auto"/>
    </w:pPr>
    <w:rPr>
      <w:color w:val="474747" w:themeColor="accent5" w:themeShade="BF"/>
    </w:rPr>
    <w:tblPr>
      <w:tblStyleRowBandSize w:val="1"/>
      <w:tblStyleColBandSize w:val="1"/>
      <w:tblInd w:w="0" w:type="dxa"/>
      <w:tblBorders>
        <w:top w:val="single" w:sz="8" w:space="0" w:color="5F5F5F" w:themeColor="accent5"/>
        <w:bottom w:val="single" w:sz="8" w:space="0" w:color="5F5F5F"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la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left w:val="nil"/>
          <w:right w:val="nil"/>
          <w:insideH w:val="nil"/>
          <w:insideV w:val="nil"/>
        </w:tcBorders>
        <w:shd w:val="clear" w:color="auto" w:fill="D7D7D7" w:themeFill="accent5" w:themeFillTint="3F"/>
      </w:tcPr>
    </w:tblStylePr>
  </w:style>
  <w:style w:type="table" w:styleId="LightGrid-Accent1">
    <w:name w:val="Light Grid Accent 1"/>
    <w:basedOn w:val="TableNormal"/>
    <w:uiPriority w:val="62"/>
    <w:rsid w:val="00B232BA"/>
    <w:pPr>
      <w:spacing w:after="0" w:line="240" w:lineRule="auto"/>
    </w:pPr>
    <w:tblPr>
      <w:tblStyleRowBandSize w:val="1"/>
      <w:tblStyleColBandSize w:val="1"/>
      <w:tblInd w:w="0" w:type="dxa"/>
      <w:tbl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DDDDDD" w:themeColor="accent1"/>
          <w:left w:val="single" w:sz="8" w:space="0" w:color="DDDDDD" w:themeColor="accent1"/>
          <w:bottom w:val="single" w:sz="18" w:space="0" w:color="DDDDDD" w:themeColor="accent1"/>
          <w:right w:val="single" w:sz="8" w:space="0" w:color="DDDDDD" w:themeColor="accent1"/>
          <w:insideH w:val="nil"/>
          <w:insideV w:val="single" w:sz="8" w:space="0" w:color="DDDDD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DDDDD" w:themeColor="accent1"/>
          <w:left w:val="single" w:sz="8" w:space="0" w:color="DDDDDD" w:themeColor="accent1"/>
          <w:bottom w:val="single" w:sz="8" w:space="0" w:color="DDDDDD" w:themeColor="accent1"/>
          <w:right w:val="single" w:sz="8" w:space="0" w:color="DDDDDD" w:themeColor="accent1"/>
          <w:insideH w:val="nil"/>
          <w:insideV w:val="single" w:sz="8" w:space="0" w:color="DDDDD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tcPr>
    </w:tblStylePr>
    <w:tblStylePr w:type="band1Vert">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shd w:val="clear" w:color="auto" w:fill="F6F6F6" w:themeFill="accent1" w:themeFillTint="3F"/>
      </w:tcPr>
    </w:tblStylePr>
    <w:tblStylePr w:type="band1Horz">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V w:val="single" w:sz="8" w:space="0" w:color="DDDDDD" w:themeColor="accent1"/>
        </w:tcBorders>
        <w:shd w:val="clear" w:color="auto" w:fill="F6F6F6" w:themeFill="accent1" w:themeFillTint="3F"/>
      </w:tcPr>
    </w:tblStylePr>
    <w:tblStylePr w:type="band2Horz">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V w:val="single" w:sz="8" w:space="0" w:color="DDDDDD" w:themeColor="accent1"/>
        </w:tcBorders>
      </w:tcPr>
    </w:tblStylePr>
  </w:style>
  <w:style w:type="character" w:styleId="Hyperlink">
    <w:name w:val="Hyperlink"/>
    <w:basedOn w:val="DefaultParagraphFont"/>
    <w:uiPriority w:val="99"/>
    <w:unhideWhenUsed/>
    <w:rsid w:val="006F5AE3"/>
    <w:rPr>
      <w:color w:val="5F5F5F" w:themeColor="hyperlink"/>
      <w:u w:val="single"/>
    </w:rPr>
  </w:style>
  <w:style w:type="paragraph" w:customStyle="1" w:styleId="Guidelines5">
    <w:name w:val="Guidelines 5"/>
    <w:basedOn w:val="Normal"/>
    <w:rsid w:val="00FF6A93"/>
    <w:pPr>
      <w:keepNext/>
      <w:spacing w:before="240" w:after="240" w:line="240" w:lineRule="auto"/>
      <w:jc w:val="both"/>
    </w:pPr>
    <w:rPr>
      <w:rFonts w:ascii="Verdana" w:eastAsia="Times New Roman" w:hAnsi="Verdana" w:cs="Times New Roman"/>
      <w:b/>
      <w:noProof/>
      <w:snapToGrid w:val="0"/>
      <w:sz w:val="24"/>
      <w:szCs w:val="20"/>
    </w:rPr>
  </w:style>
  <w:style w:type="paragraph" w:customStyle="1" w:styleId="Bulletletter">
    <w:name w:val="Bullet letter"/>
    <w:basedOn w:val="Normal"/>
    <w:rsid w:val="00FF6A93"/>
    <w:pPr>
      <w:keepNext/>
      <w:numPr>
        <w:numId w:val="21"/>
      </w:numPr>
      <w:tabs>
        <w:tab w:val="left" w:pos="-3402"/>
        <w:tab w:val="num" w:pos="567"/>
      </w:tabs>
      <w:spacing w:after="120" w:line="240" w:lineRule="auto"/>
      <w:ind w:left="567" w:hanging="567"/>
      <w:jc w:val="both"/>
    </w:pPr>
    <w:rPr>
      <w:rFonts w:ascii="Arial" w:eastAsia="Times New Roman" w:hAnsi="Arial" w:cs="Times New Roman"/>
      <w:szCs w:val="20"/>
      <w:lang w:val="en-IE"/>
    </w:rPr>
  </w:style>
  <w:style w:type="character" w:styleId="CommentReference">
    <w:name w:val="annotation reference"/>
    <w:basedOn w:val="DefaultParagraphFont"/>
    <w:uiPriority w:val="99"/>
    <w:semiHidden/>
    <w:unhideWhenUsed/>
    <w:rsid w:val="001522C0"/>
    <w:rPr>
      <w:sz w:val="16"/>
      <w:szCs w:val="16"/>
    </w:rPr>
  </w:style>
  <w:style w:type="paragraph" w:styleId="CommentText">
    <w:name w:val="annotation text"/>
    <w:basedOn w:val="Normal"/>
    <w:link w:val="CommentTextChar"/>
    <w:uiPriority w:val="99"/>
    <w:semiHidden/>
    <w:unhideWhenUsed/>
    <w:rsid w:val="001522C0"/>
    <w:pPr>
      <w:spacing w:line="240" w:lineRule="auto"/>
    </w:pPr>
    <w:rPr>
      <w:sz w:val="20"/>
      <w:szCs w:val="20"/>
    </w:rPr>
  </w:style>
  <w:style w:type="character" w:customStyle="1" w:styleId="CommentTextChar">
    <w:name w:val="Comment Text Char"/>
    <w:basedOn w:val="DefaultParagraphFont"/>
    <w:link w:val="CommentText"/>
    <w:uiPriority w:val="99"/>
    <w:semiHidden/>
    <w:rsid w:val="001522C0"/>
    <w:rPr>
      <w:sz w:val="20"/>
      <w:szCs w:val="20"/>
      <w:lang w:val="ro-RO"/>
    </w:rPr>
  </w:style>
  <w:style w:type="paragraph" w:styleId="CommentSubject">
    <w:name w:val="annotation subject"/>
    <w:basedOn w:val="CommentText"/>
    <w:next w:val="CommentText"/>
    <w:link w:val="CommentSubjectChar"/>
    <w:uiPriority w:val="99"/>
    <w:semiHidden/>
    <w:unhideWhenUsed/>
    <w:rsid w:val="001522C0"/>
    <w:rPr>
      <w:b/>
      <w:bCs/>
    </w:rPr>
  </w:style>
  <w:style w:type="character" w:customStyle="1" w:styleId="CommentSubjectChar">
    <w:name w:val="Comment Subject Char"/>
    <w:basedOn w:val="CommentTextChar"/>
    <w:link w:val="CommentSubject"/>
    <w:uiPriority w:val="99"/>
    <w:semiHidden/>
    <w:rsid w:val="001522C0"/>
    <w:rPr>
      <w:b/>
      <w:bCs/>
      <w:sz w:val="20"/>
      <w:szCs w:val="20"/>
      <w:lang w:val="ro-RO"/>
    </w:rPr>
  </w:style>
  <w:style w:type="paragraph" w:customStyle="1" w:styleId="Default">
    <w:name w:val="Default"/>
    <w:rsid w:val="0099731D"/>
    <w:pPr>
      <w:autoSpaceDE w:val="0"/>
      <w:autoSpaceDN w:val="0"/>
      <w:adjustRightInd w:val="0"/>
      <w:spacing w:after="0" w:line="240" w:lineRule="auto"/>
    </w:pPr>
    <w:rPr>
      <w:rFonts w:ascii="Calibri" w:hAnsi="Calibri" w:cs="Calibri"/>
      <w:color w:val="000000"/>
      <w:sz w:val="24"/>
      <w:szCs w:val="24"/>
    </w:rPr>
  </w:style>
  <w:style w:type="table" w:styleId="LightShading-Accent1">
    <w:name w:val="Light Shading Accent 1"/>
    <w:basedOn w:val="TableNormal"/>
    <w:uiPriority w:val="60"/>
    <w:rsid w:val="00F73017"/>
    <w:pPr>
      <w:spacing w:after="0" w:line="240" w:lineRule="auto"/>
    </w:pPr>
    <w:rPr>
      <w:color w:val="A5A5A5" w:themeColor="accent1" w:themeShade="BF"/>
    </w:rPr>
    <w:tblPr>
      <w:tblStyleRowBandSize w:val="1"/>
      <w:tblStyleColBandSize w:val="1"/>
      <w:tblInd w:w="0" w:type="dxa"/>
      <w:tblBorders>
        <w:top w:val="single" w:sz="8" w:space="0" w:color="DDDDDD" w:themeColor="accent1"/>
        <w:bottom w:val="single" w:sz="8" w:space="0" w:color="DDDDD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DDDDDD" w:themeColor="accent1"/>
          <w:left w:val="nil"/>
          <w:bottom w:val="single" w:sz="8" w:space="0" w:color="DDDDDD" w:themeColor="accent1"/>
          <w:right w:val="nil"/>
          <w:insideH w:val="nil"/>
          <w:insideV w:val="nil"/>
        </w:tcBorders>
      </w:tcPr>
    </w:tblStylePr>
    <w:tblStylePr w:type="lastRow">
      <w:pPr>
        <w:spacing w:before="0" w:after="0" w:line="240" w:lineRule="auto"/>
      </w:pPr>
      <w:rPr>
        <w:b/>
        <w:bCs/>
      </w:rPr>
      <w:tblPr/>
      <w:tcPr>
        <w:tcBorders>
          <w:top w:val="single" w:sz="8" w:space="0" w:color="DDDDDD" w:themeColor="accent1"/>
          <w:left w:val="nil"/>
          <w:bottom w:val="single" w:sz="8" w:space="0" w:color="DDDDD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6F6F6" w:themeFill="accent1" w:themeFillTint="3F"/>
      </w:tcPr>
    </w:tblStylePr>
    <w:tblStylePr w:type="band1Horz">
      <w:tblPr/>
      <w:tcPr>
        <w:tcBorders>
          <w:left w:val="nil"/>
          <w:right w:val="nil"/>
          <w:insideH w:val="nil"/>
          <w:insideV w:val="nil"/>
        </w:tcBorders>
        <w:shd w:val="clear" w:color="auto" w:fill="F6F6F6" w:themeFill="accen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CC7554-4E6E-434A-86C8-B8DA17557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6</Pages>
  <Words>1826</Words>
  <Characters>10410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dc:creator>
  <cp:lastModifiedBy>Luminita</cp:lastModifiedBy>
  <cp:revision>30</cp:revision>
  <cp:lastPrinted>2015-12-19T14:53:00Z</cp:lastPrinted>
  <dcterms:created xsi:type="dcterms:W3CDTF">2016-01-27T14:17:00Z</dcterms:created>
  <dcterms:modified xsi:type="dcterms:W3CDTF">2016-09-02T09:07:00Z</dcterms:modified>
</cp:coreProperties>
</file>